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5" Type="http://purl.oclc.org/ooxml/officeDocument/relationships/customProperties" Target="docProps/custom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CA8869A" w14:textId="77777777" w:rsidR="00C95F76" w:rsidRDefault="005C63D5">
      <w:pPr>
        <w:rPr>
          <w:b/>
          <w:bCs/>
          <w:sz w:val="22"/>
        </w:rPr>
      </w:pPr>
      <w:r>
        <w:rPr>
          <w:b/>
          <w:bCs/>
          <w:sz w:val="22"/>
        </w:rPr>
        <w:t>Gesetz über die Entlastung des Staatshaushalts</w:t>
      </w:r>
    </w:p>
    <w:p w14:paraId="78D63081" w14:textId="77777777" w:rsidR="00DC741A" w:rsidRDefault="00DC741A">
      <w:pPr>
        <w:rPr>
          <w:b/>
          <w:bCs/>
          <w:sz w:val="22"/>
        </w:rPr>
      </w:pPr>
    </w:p>
    <w:p w14:paraId="0A6FD7B3" w14:textId="5AFAAC14" w:rsidR="00DC741A" w:rsidRDefault="00DC741A">
      <w:r>
        <w:rPr>
          <w:b/>
          <w:bCs/>
          <w:sz w:val="22"/>
        </w:rPr>
        <w:t>Antwortformular</w:t>
      </w:r>
    </w:p>
    <w:p w14:paraId="6840BDCD" w14:textId="77777777" w:rsidR="00C95F76" w:rsidRDefault="00C95F76"/>
    <w:p w14:paraId="16BE450E" w14:textId="77777777" w:rsidR="00C95F76" w:rsidRDefault="005C63D5">
      <w:pPr>
        <w:pStyle w:val="ZusammenfassungEinleitung"/>
      </w:pPr>
      <w:r>
        <w:t>Von diesem Geschäft tangierte Erlasse (bGS Nummern)</w:t>
      </w:r>
    </w:p>
    <w:p w14:paraId="1C6BECED" w14:textId="77777777" w:rsidR="00C95F76" w:rsidRDefault="005C63D5">
      <w:pPr>
        <w:pStyle w:val="ZusammenfassungneueErlasse"/>
      </w:pPr>
      <w:r>
        <w:t>Neu:</w:t>
      </w:r>
      <w:r>
        <w:tab/>
        <w:t>–</w:t>
      </w:r>
    </w:p>
    <w:p w14:paraId="736CF478" w14:textId="77777777" w:rsidR="00C95F76" w:rsidRDefault="005C63D5">
      <w:pPr>
        <w:pStyle w:val="ZusammenfassunggenderteErlasse"/>
      </w:pPr>
      <w:r>
        <w:t>Geändert:</w:t>
      </w:r>
      <w:r>
        <w:tab/>
      </w:r>
      <w:r>
        <w:rPr>
          <w:rStyle w:val="Zusammenfassungnderung"/>
        </w:rPr>
        <w:t>142.21</w:t>
      </w:r>
      <w:r>
        <w:t xml:space="preserve"> | </w:t>
      </w:r>
      <w:r>
        <w:rPr>
          <w:rStyle w:val="Zusammenfassungnderung"/>
        </w:rPr>
        <w:t>146.1</w:t>
      </w:r>
      <w:r>
        <w:t xml:space="preserve"> | </w:t>
      </w:r>
      <w:r>
        <w:rPr>
          <w:rStyle w:val="Zusammenfassungnderung"/>
        </w:rPr>
        <w:t>525.1</w:t>
      </w:r>
      <w:r>
        <w:t xml:space="preserve"> | </w:t>
      </w:r>
      <w:r>
        <w:rPr>
          <w:rStyle w:val="Zusammenfassungnderung"/>
        </w:rPr>
        <w:t>621.11</w:t>
      </w:r>
      <w:r>
        <w:t xml:space="preserve"> | </w:t>
      </w:r>
      <w:r>
        <w:rPr>
          <w:rStyle w:val="Zusammenfassungnderung"/>
        </w:rPr>
        <w:t>955.21</w:t>
      </w:r>
    </w:p>
    <w:p w14:paraId="35EB9E86" w14:textId="77777777" w:rsidR="00C95F76" w:rsidRDefault="005C63D5">
      <w:pPr>
        <w:pStyle w:val="ZusammenfassungaufgehobeneErlasse"/>
      </w:pPr>
      <w:r>
        <w:t>Aufgehoben:</w:t>
      </w:r>
      <w:r>
        <w:tab/>
        <w:t>–</w:t>
      </w:r>
    </w:p>
    <w:p w14:paraId="3DFC1DA7" w14:textId="77777777" w:rsidR="00783343" w:rsidRDefault="00783343">
      <w:pPr>
        <w:pStyle w:val="ZusammenfassungaufgehobeneErlasse"/>
        <w:rPr>
          <w:b/>
          <w:sz w:val="22"/>
        </w:rPr>
      </w:pPr>
    </w:p>
    <w:tbl>
      <w:tblPr>
        <w:tblW w:w="100.0%" w:type="pct"/>
        <w:tblLayout w:type="fixed"/>
        <w:tblCellMar>
          <w:top w:w="5.40pt" w:type="dxa"/>
          <w:bottom w:w="5.40pt" w:type="dxa"/>
        </w:tblCellMar>
        <w:tblLook w:firstRow="0" w:lastRow="0" w:firstColumn="0" w:lastColumn="0" w:noHBand="0" w:noVBand="0"/>
      </w:tblPr>
      <w:tblGrid>
        <w:gridCol w:w="4947"/>
        <w:gridCol w:w="4948"/>
        <w:gridCol w:w="4949"/>
      </w:tblGrid>
      <w:tr w:rsidR="00C95F76" w14:paraId="08672B62" w14:textId="77777777" w:rsidTr="00783343">
        <w:trPr>
          <w:tblHeader/>
        </w:trPr>
        <w:tc>
          <w:tcPr>
            <w:tcW w:w="247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B2D4922" w14:textId="77777777" w:rsidR="00C95F76" w:rsidRDefault="005C63D5">
            <w:pPr>
              <w:pStyle w:val="TableContents"/>
            </w:pPr>
            <w:r>
              <w:rPr>
                <w:b/>
                <w:sz w:val="22"/>
              </w:rPr>
              <w:t>Geltendes Recht</w:t>
            </w:r>
          </w:p>
        </w:tc>
        <w:tc>
          <w:tcPr>
            <w:tcW w:w="247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35B57A6" w14:textId="17A559AB" w:rsidR="00C95F76" w:rsidRDefault="005704F3">
            <w:pPr>
              <w:pStyle w:val="TableContents"/>
            </w:pPr>
            <w:r w:rsidRPr="0053551F">
              <w:rPr>
                <w:b/>
                <w:sz w:val="22"/>
              </w:rPr>
              <w:t>Vernehmlassungse</w:t>
            </w:r>
            <w:r w:rsidR="005C63D5" w:rsidRPr="0053551F">
              <w:rPr>
                <w:b/>
                <w:sz w:val="22"/>
              </w:rPr>
              <w:t xml:space="preserve">ntwurf </w:t>
            </w:r>
            <w:r w:rsidRPr="0053551F">
              <w:rPr>
                <w:b/>
                <w:sz w:val="22"/>
              </w:rPr>
              <w:t>Regierungsrat</w:t>
            </w:r>
            <w:r w:rsidR="005C63D5" w:rsidRPr="0053551F">
              <w:rPr>
                <w:b/>
                <w:sz w:val="22"/>
              </w:rPr>
              <w:t xml:space="preserve">, </w:t>
            </w:r>
            <w:r w:rsidR="00C51E45" w:rsidRPr="0053551F">
              <w:rPr>
                <w:b/>
                <w:sz w:val="22"/>
              </w:rPr>
              <w:t>25</w:t>
            </w:r>
            <w:r w:rsidR="005C63D5" w:rsidRPr="0053551F">
              <w:rPr>
                <w:b/>
                <w:sz w:val="22"/>
              </w:rPr>
              <w:t>.</w:t>
            </w:r>
            <w:r w:rsidR="00F41C70" w:rsidRPr="0053551F">
              <w:rPr>
                <w:b/>
                <w:sz w:val="22"/>
              </w:rPr>
              <w:t> </w:t>
            </w:r>
            <w:r w:rsidR="005C63D5" w:rsidRPr="0053551F">
              <w:rPr>
                <w:b/>
                <w:sz w:val="22"/>
              </w:rPr>
              <w:t>November 2025</w:t>
            </w:r>
          </w:p>
        </w:tc>
        <w:tc>
          <w:tcPr>
            <w:tcW w:w="247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E0E0E0"/>
            <w:vAlign w:val="center"/>
          </w:tcPr>
          <w:p w14:paraId="623E3AEB" w14:textId="69E3F5A3" w:rsidR="00C95F76" w:rsidRDefault="004479B8">
            <w:pPr>
              <w:pStyle w:val="TableContents"/>
            </w:pPr>
            <w:r>
              <w:rPr>
                <w:b/>
                <w:sz w:val="22"/>
              </w:rPr>
              <w:t>Vernehmlassungsantworten</w:t>
            </w:r>
          </w:p>
        </w:tc>
      </w:tr>
      <w:tr w:rsidR="00C95F76" w14:paraId="5FF43ABE" w14:textId="77777777" w:rsidTr="00783343">
        <w:tc>
          <w:tcPr>
            <w:tcW w:w="247.35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FFFFFF"/>
          </w:tcPr>
          <w:p w14:paraId="78F7F230" w14:textId="77777777" w:rsidR="00C95F76" w:rsidRDefault="00C95F76"/>
        </w:tc>
        <w:tc>
          <w:tcPr>
            <w:tcW w:w="247.4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FFFFFF"/>
          </w:tcPr>
          <w:p w14:paraId="5B13265A" w14:textId="77777777" w:rsidR="00C95F76" w:rsidRDefault="005C63D5">
            <w:pPr>
              <w:pStyle w:val="Abschnittstitel"/>
            </w:pPr>
            <w:r>
              <w:t>I.</w:t>
            </w:r>
          </w:p>
        </w:tc>
        <w:tc>
          <w:tcPr>
            <w:tcW w:w="247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FFFF"/>
          </w:tcPr>
          <w:p w14:paraId="08B341E9" w14:textId="77777777" w:rsidR="00C95F76" w:rsidRDefault="00C95F76"/>
        </w:tc>
      </w:tr>
      <w:tr w:rsidR="00C95F76" w14:paraId="74BDD729" w14:textId="77777777" w:rsidTr="00783343">
        <w:tc>
          <w:tcPr>
            <w:tcW w:w="247.35pt" w:type="dxa"/>
            <w:tcBorders>
              <w:top w:val="single" w:sz="4" w:space="0" w:color="000000"/>
              <w:start w:val="single" w:sz="4" w:space="0" w:color="000000"/>
            </w:tcBorders>
          </w:tcPr>
          <w:p w14:paraId="377E8695" w14:textId="77777777" w:rsidR="00C95F76" w:rsidRDefault="00C95F76">
            <w:pPr>
              <w:pStyle w:val="EmptySectionRemark"/>
            </w:pPr>
          </w:p>
        </w:tc>
        <w:tc>
          <w:tcPr>
            <w:tcW w:w="247.40pt" w:type="dxa"/>
            <w:tcBorders>
              <w:top w:val="single" w:sz="4" w:space="0" w:color="000000"/>
              <w:start w:val="single" w:sz="4" w:space="0" w:color="000000"/>
            </w:tcBorders>
          </w:tcPr>
          <w:p w14:paraId="0BFDC9C4" w14:textId="77777777" w:rsidR="00C95F76" w:rsidRDefault="005C63D5">
            <w:pPr>
              <w:pStyle w:val="EmptySectionRemark"/>
            </w:pPr>
            <w:r>
              <w:t>Keine Hauptänderung.</w:t>
            </w:r>
          </w:p>
        </w:tc>
        <w:tc>
          <w:tcPr>
            <w:tcW w:w="247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22320A32" w14:textId="77777777" w:rsidR="00C95F76" w:rsidRDefault="00C95F76"/>
        </w:tc>
      </w:tr>
      <w:tr w:rsidR="00C95F76" w14:paraId="1BC307D3" w14:textId="77777777" w:rsidTr="00783343">
        <w:tc>
          <w:tcPr>
            <w:tcW w:w="247.35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FFFFFF"/>
          </w:tcPr>
          <w:p w14:paraId="31F4262C" w14:textId="77777777" w:rsidR="00C95F76" w:rsidRDefault="00C95F76"/>
        </w:tc>
        <w:tc>
          <w:tcPr>
            <w:tcW w:w="247.4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FFFFFF"/>
          </w:tcPr>
          <w:p w14:paraId="7E693D92" w14:textId="77777777" w:rsidR="00C95F76" w:rsidRDefault="005C63D5">
            <w:pPr>
              <w:pStyle w:val="Abschnittstitel"/>
            </w:pPr>
            <w:r>
              <w:t>II.</w:t>
            </w:r>
          </w:p>
        </w:tc>
        <w:tc>
          <w:tcPr>
            <w:tcW w:w="247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FFFF"/>
          </w:tcPr>
          <w:p w14:paraId="266C1735" w14:textId="77777777" w:rsidR="00C95F76" w:rsidRDefault="00C95F76"/>
        </w:tc>
      </w:tr>
      <w:tr w:rsidR="00C95F76" w14:paraId="1BEE4306" w14:textId="77777777" w:rsidTr="00783343">
        <w:tc>
          <w:tcPr>
            <w:tcW w:w="247.35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FFFFFF"/>
          </w:tcPr>
          <w:p w14:paraId="240FECA4" w14:textId="77777777" w:rsidR="00C95F76" w:rsidRDefault="00C95F76"/>
        </w:tc>
        <w:tc>
          <w:tcPr>
            <w:tcW w:w="247.4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FFFFFF"/>
          </w:tcPr>
          <w:p w14:paraId="11F611E5" w14:textId="77777777" w:rsidR="00C95F76" w:rsidRDefault="005C63D5">
            <w:pPr>
              <w:keepNext/>
            </w:pPr>
            <w:r>
              <w:rPr>
                <w:b/>
              </w:rPr>
              <w:t>1.</w:t>
            </w:r>
          </w:p>
          <w:p w14:paraId="28192827" w14:textId="77777777" w:rsidR="00C95F76" w:rsidRDefault="005C63D5">
            <w:pPr>
              <w:pStyle w:val="Nebenzitat"/>
            </w:pPr>
            <w:r>
              <w:t xml:space="preserve">Der Erlass «Personalgesetz (PG; bGS </w:t>
            </w:r>
            <w:hyperlink r:id="rId7" w:history="1">
              <w:r>
                <w:rPr>
                  <w:rStyle w:val="Hyperlink"/>
                </w:rPr>
                <w:t>142.21</w:t>
              </w:r>
            </w:hyperlink>
            <w:r>
              <w:t>) vom 24. Oktober 2005 (Stand 1. Juli 2023)» wird wie folgt geändert:</w:t>
            </w:r>
          </w:p>
        </w:tc>
        <w:tc>
          <w:tcPr>
            <w:tcW w:w="247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FFFF"/>
          </w:tcPr>
          <w:p w14:paraId="68262F37" w14:textId="77777777" w:rsidR="00C95F76" w:rsidRDefault="00C95F76"/>
        </w:tc>
      </w:tr>
      <w:tr w:rsidR="00C95F76" w14:paraId="112F7E55" w14:textId="77777777" w:rsidTr="00783343">
        <w:trPr>
          <w:cantSplit/>
        </w:trPr>
        <w:tc>
          <w:tcPr>
            <w:tcW w:w="247.35pt" w:type="dxa"/>
            <w:tcBorders>
              <w:top w:val="single" w:sz="4" w:space="0" w:color="000000"/>
              <w:start w:val="single" w:sz="4" w:space="0" w:color="000000"/>
            </w:tcBorders>
          </w:tcPr>
          <w:p w14:paraId="1E8E0231" w14:textId="77777777" w:rsidR="00C95F76" w:rsidRDefault="005C63D5">
            <w:pPr>
              <w:pStyle w:val="TableContents"/>
            </w:pPr>
            <w:r>
              <w:rPr>
                <w:b/>
                <w:bCs/>
              </w:rPr>
              <w:t>Art.  47</w:t>
            </w:r>
            <w:r>
              <w:br/>
            </w:r>
            <w:r>
              <w:rPr>
                <w:sz w:val="14"/>
              </w:rPr>
              <w:t>Dienstaltersgeschenk</w:t>
            </w:r>
          </w:p>
        </w:tc>
        <w:tc>
          <w:tcPr>
            <w:tcW w:w="247.40pt" w:type="dxa"/>
            <w:tcBorders>
              <w:top w:val="single" w:sz="4" w:space="0" w:color="000000"/>
              <w:start w:val="single" w:sz="4" w:space="0" w:color="000000"/>
            </w:tcBorders>
          </w:tcPr>
          <w:p w14:paraId="48F6D071" w14:textId="77777777" w:rsidR="00C95F76" w:rsidRDefault="00C95F76">
            <w:pPr>
              <w:pStyle w:val="TableContents"/>
            </w:pPr>
          </w:p>
        </w:tc>
        <w:tc>
          <w:tcPr>
            <w:tcW w:w="247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3FA75332" w14:textId="77777777" w:rsidR="00C95F76" w:rsidRDefault="00C95F76"/>
        </w:tc>
      </w:tr>
      <w:tr w:rsidR="00C95F76" w14:paraId="012CD333" w14:textId="77777777" w:rsidTr="00783343">
        <w:trPr>
          <w:cantSplit/>
        </w:trPr>
        <w:tc>
          <w:tcPr>
            <w:tcW w:w="247.35pt" w:type="dxa"/>
            <w:tcBorders>
              <w:start w:val="single" w:sz="4" w:space="0" w:color="000000"/>
            </w:tcBorders>
          </w:tcPr>
          <w:p w14:paraId="660E3C32" w14:textId="77777777" w:rsidR="00C95F76" w:rsidRDefault="005C63D5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Angestellte erhalten nach Vollendung des 10., 20., 30. und 40. Dienstjahres als Anerkennung ein Dienstaltersgeschenk.</w:t>
            </w:r>
          </w:p>
        </w:tc>
        <w:tc>
          <w:tcPr>
            <w:tcW w:w="247.40pt" w:type="dxa"/>
            <w:tcBorders>
              <w:start w:val="single" w:sz="4" w:space="0" w:color="000000"/>
            </w:tcBorders>
          </w:tcPr>
          <w:p w14:paraId="4B2848A5" w14:textId="77777777" w:rsidR="00C95F76" w:rsidRDefault="005C63D5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Angestellte erhalten nach Vollendung des 10., 20., 30. und 40. Dienstjahres als Anerkennung ein Dienstaltersgeschenk von 20 Arbeitstagen bezahlter Ferien.</w:t>
            </w:r>
          </w:p>
        </w:tc>
        <w:tc>
          <w:tcPr>
            <w:tcW w:w="247.45pt" w:type="dxa"/>
            <w:tcBorders>
              <w:start w:val="single" w:sz="4" w:space="0" w:color="000000"/>
              <w:end w:val="single" w:sz="4" w:space="0" w:color="000000"/>
            </w:tcBorders>
          </w:tcPr>
          <w:p w14:paraId="6377ACCB" w14:textId="77777777" w:rsidR="00C95F76" w:rsidRDefault="00C95F76"/>
        </w:tc>
      </w:tr>
      <w:tr w:rsidR="00C95F76" w14:paraId="3CE0A40F" w14:textId="77777777" w:rsidTr="00783343">
        <w:trPr>
          <w:cantSplit/>
        </w:trPr>
        <w:tc>
          <w:tcPr>
            <w:tcW w:w="247.35pt" w:type="dxa"/>
            <w:tcBorders>
              <w:start w:val="single" w:sz="4" w:space="0" w:color="000000"/>
            </w:tcBorders>
          </w:tcPr>
          <w:p w14:paraId="2FAEEAC6" w14:textId="77777777" w:rsidR="00C95F76" w:rsidRDefault="005C63D5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Es beträgt</w:t>
            </w:r>
          </w:p>
        </w:tc>
        <w:tc>
          <w:tcPr>
            <w:tcW w:w="247.40pt" w:type="dxa"/>
            <w:tcBorders>
              <w:start w:val="single" w:sz="4" w:space="0" w:color="000000"/>
            </w:tcBorders>
          </w:tcPr>
          <w:p w14:paraId="64717DF4" w14:textId="77777777" w:rsidR="00C95F76" w:rsidRDefault="005C63D5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</w:t>
            </w:r>
            <w:r>
              <w:rPr>
                <w:i/>
                <w:iCs/>
              </w:rPr>
              <w:t>Aufgehoben.</w:t>
            </w:r>
          </w:p>
        </w:tc>
        <w:tc>
          <w:tcPr>
            <w:tcW w:w="247.45pt" w:type="dxa"/>
            <w:tcBorders>
              <w:start w:val="single" w:sz="4" w:space="0" w:color="000000"/>
              <w:end w:val="single" w:sz="4" w:space="0" w:color="000000"/>
            </w:tcBorders>
          </w:tcPr>
          <w:p w14:paraId="70F9DEAE" w14:textId="77777777" w:rsidR="00C95F76" w:rsidRDefault="00C95F76"/>
        </w:tc>
      </w:tr>
      <w:tr w:rsidR="00C95F76" w14:paraId="362E307B" w14:textId="77777777" w:rsidTr="00783343">
        <w:trPr>
          <w:cantSplit/>
        </w:trPr>
        <w:tc>
          <w:tcPr>
            <w:tcW w:w="247.35pt" w:type="dxa"/>
            <w:tcBorders>
              <w:start w:val="single" w:sz="4" w:space="0" w:color="000000"/>
            </w:tcBorders>
          </w:tcPr>
          <w:p w14:paraId="1102AE31" w14:textId="77777777" w:rsidR="00C95F76" w:rsidRDefault="005C63D5">
            <w:pPr>
              <w:pStyle w:val="TableContents"/>
              <w:ind w:start="7.45pt" w:end="0.15pt" w:hanging="9.45pt"/>
            </w:pPr>
            <w:r>
              <w:t>a) für Lehrende entweder 1/12 des Jahreslohns oder 20 Arbeitstage bezahlter Ferien während der Unterrichtszeit;</w:t>
            </w:r>
          </w:p>
        </w:tc>
        <w:tc>
          <w:tcPr>
            <w:tcW w:w="247.40pt" w:type="dxa"/>
            <w:tcBorders>
              <w:start w:val="single" w:sz="4" w:space="0" w:color="000000"/>
            </w:tcBorders>
          </w:tcPr>
          <w:p w14:paraId="2EE14001" w14:textId="77777777" w:rsidR="00C95F76" w:rsidRDefault="00C95F76">
            <w:pPr>
              <w:pStyle w:val="TableContents"/>
              <w:ind w:start="7.45pt" w:end="0.15pt" w:hanging="9.45pt"/>
            </w:pPr>
          </w:p>
        </w:tc>
        <w:tc>
          <w:tcPr>
            <w:tcW w:w="247.45pt" w:type="dxa"/>
            <w:tcBorders>
              <w:start w:val="single" w:sz="4" w:space="0" w:color="000000"/>
              <w:end w:val="single" w:sz="4" w:space="0" w:color="000000"/>
            </w:tcBorders>
          </w:tcPr>
          <w:p w14:paraId="126134AB" w14:textId="77777777" w:rsidR="00C95F76" w:rsidRDefault="00C95F76"/>
        </w:tc>
      </w:tr>
      <w:tr w:rsidR="00C95F76" w14:paraId="165E558E" w14:textId="77777777" w:rsidTr="00783343">
        <w:trPr>
          <w:cantSplit/>
        </w:trPr>
        <w:tc>
          <w:tcPr>
            <w:tcW w:w="247.35pt" w:type="dxa"/>
            <w:tcBorders>
              <w:start w:val="single" w:sz="4" w:space="0" w:color="000000"/>
            </w:tcBorders>
          </w:tcPr>
          <w:p w14:paraId="2506A68B" w14:textId="77777777" w:rsidR="00C95F76" w:rsidRDefault="005C63D5">
            <w:pPr>
              <w:pStyle w:val="TableContents"/>
              <w:ind w:start="7.45pt" w:end="0.15pt" w:hanging="9.45pt"/>
            </w:pPr>
            <w:r>
              <w:lastRenderedPageBreak/>
              <w:t>b) für alle anderen Mitarbeitenden entweder 10 Arbeitstage bezahlter Ferien und 1/24 des Jahreslohns oder 20 Arbeitstage bezahlter Ferien.</w:t>
            </w:r>
          </w:p>
        </w:tc>
        <w:tc>
          <w:tcPr>
            <w:tcW w:w="247.40pt" w:type="dxa"/>
            <w:tcBorders>
              <w:start w:val="single" w:sz="4" w:space="0" w:color="000000"/>
            </w:tcBorders>
          </w:tcPr>
          <w:p w14:paraId="0B2FDD65" w14:textId="77777777" w:rsidR="00C95F76" w:rsidRDefault="00C95F76">
            <w:pPr>
              <w:pStyle w:val="TableContents"/>
              <w:ind w:start="7.45pt" w:end="0.15pt" w:hanging="9.45pt"/>
            </w:pPr>
          </w:p>
        </w:tc>
        <w:tc>
          <w:tcPr>
            <w:tcW w:w="247.45pt" w:type="dxa"/>
            <w:tcBorders>
              <w:start w:val="single" w:sz="4" w:space="0" w:color="000000"/>
              <w:end w:val="single" w:sz="4" w:space="0" w:color="000000"/>
            </w:tcBorders>
          </w:tcPr>
          <w:p w14:paraId="464D1653" w14:textId="77777777" w:rsidR="00C95F76" w:rsidRDefault="00C95F76"/>
        </w:tc>
      </w:tr>
      <w:tr w:rsidR="00C95F76" w14:paraId="50BC8CDA" w14:textId="77777777" w:rsidTr="00783343">
        <w:trPr>
          <w:cantSplit/>
        </w:trPr>
        <w:tc>
          <w:tcPr>
            <w:tcW w:w="247.35pt" w:type="dxa"/>
            <w:tcBorders>
              <w:start w:val="single" w:sz="4" w:space="0" w:color="000000"/>
            </w:tcBorders>
          </w:tcPr>
          <w:p w14:paraId="3C04F58A" w14:textId="77777777" w:rsidR="00C95F76" w:rsidRDefault="005C63D5">
            <w:pPr>
              <w:pStyle w:val="TableContents"/>
            </w:pPr>
            <w:r>
              <w:rPr>
                <w:vertAlign w:val="superscript"/>
              </w:rPr>
              <w:t>2bis</w:t>
            </w:r>
            <w:r>
              <w:t> Ferientage, die vor Beendigung des Arbeitsverhältnisses nicht mehr bezogen werden können, werden ausbezahlt.</w:t>
            </w:r>
          </w:p>
        </w:tc>
        <w:tc>
          <w:tcPr>
            <w:tcW w:w="247.40pt" w:type="dxa"/>
            <w:tcBorders>
              <w:start w:val="single" w:sz="4" w:space="0" w:color="000000"/>
            </w:tcBorders>
          </w:tcPr>
          <w:p w14:paraId="254C7784" w14:textId="77777777" w:rsidR="00C95F76" w:rsidRDefault="005C63D5">
            <w:pPr>
              <w:pStyle w:val="TableContents"/>
            </w:pPr>
            <w:r>
              <w:rPr>
                <w:vertAlign w:val="superscript"/>
              </w:rPr>
              <w:t>2bis</w:t>
            </w:r>
            <w:r>
              <w:t> </w:t>
            </w:r>
            <w:r>
              <w:rPr>
                <w:i/>
                <w:iCs/>
              </w:rPr>
              <w:t>Aufgehoben.</w:t>
            </w:r>
          </w:p>
        </w:tc>
        <w:tc>
          <w:tcPr>
            <w:tcW w:w="247.45pt" w:type="dxa"/>
            <w:tcBorders>
              <w:start w:val="single" w:sz="4" w:space="0" w:color="000000"/>
              <w:end w:val="single" w:sz="4" w:space="0" w:color="000000"/>
            </w:tcBorders>
          </w:tcPr>
          <w:p w14:paraId="0191C844" w14:textId="77777777" w:rsidR="00C95F76" w:rsidRDefault="00C95F76"/>
        </w:tc>
      </w:tr>
      <w:tr w:rsidR="00C95F76" w14:paraId="7728FDB6" w14:textId="77777777" w:rsidTr="00783343">
        <w:trPr>
          <w:cantSplit/>
        </w:trPr>
        <w:tc>
          <w:tcPr>
            <w:tcW w:w="247.35pt" w:type="dxa"/>
            <w:tcBorders>
              <w:start w:val="single" w:sz="4" w:space="0" w:color="000000"/>
            </w:tcBorders>
          </w:tcPr>
          <w:p w14:paraId="6C747138" w14:textId="77777777" w:rsidR="00C95F76" w:rsidRDefault="005C63D5">
            <w:pPr>
              <w:pStyle w:val="TableContents"/>
            </w:pPr>
            <w:r>
              <w:rPr>
                <w:vertAlign w:val="superscript"/>
              </w:rPr>
              <w:t>3</w:t>
            </w:r>
            <w:r>
              <w:t> Die individuelle Höhe des Dienstaltersgeschenkes bemisst sich nach dem durchschnittlichen Beschäftigungsgrad der letzten 10 Jahre.</w:t>
            </w:r>
          </w:p>
        </w:tc>
        <w:tc>
          <w:tcPr>
            <w:tcW w:w="247.40pt" w:type="dxa"/>
            <w:tcBorders>
              <w:start w:val="single" w:sz="4" w:space="0" w:color="000000"/>
            </w:tcBorders>
          </w:tcPr>
          <w:p w14:paraId="4A285779" w14:textId="77777777" w:rsidR="00C95F76" w:rsidRDefault="00C95F76">
            <w:pPr>
              <w:pStyle w:val="TableContents"/>
            </w:pPr>
          </w:p>
        </w:tc>
        <w:tc>
          <w:tcPr>
            <w:tcW w:w="247.45pt" w:type="dxa"/>
            <w:tcBorders>
              <w:start w:val="single" w:sz="4" w:space="0" w:color="000000"/>
              <w:end w:val="single" w:sz="4" w:space="0" w:color="000000"/>
            </w:tcBorders>
          </w:tcPr>
          <w:p w14:paraId="08B0869E" w14:textId="77777777" w:rsidR="00C95F76" w:rsidRDefault="00C95F76"/>
        </w:tc>
      </w:tr>
      <w:tr w:rsidR="00C95F76" w14:paraId="3A3E35D6" w14:textId="77777777" w:rsidTr="00783343">
        <w:trPr>
          <w:cantSplit/>
        </w:trPr>
        <w:tc>
          <w:tcPr>
            <w:tcW w:w="247.35pt" w:type="dxa"/>
            <w:tcBorders>
              <w:start w:val="single" w:sz="4" w:space="0" w:color="000000"/>
            </w:tcBorders>
          </w:tcPr>
          <w:p w14:paraId="7A9A36A9" w14:textId="77777777" w:rsidR="00C95F76" w:rsidRDefault="005C63D5">
            <w:pPr>
              <w:pStyle w:val="TableContents"/>
            </w:pPr>
            <w:r>
              <w:rPr>
                <w:vertAlign w:val="superscript"/>
              </w:rPr>
              <w:t>4</w:t>
            </w:r>
            <w:r>
              <w:t> …</w:t>
            </w:r>
          </w:p>
        </w:tc>
        <w:tc>
          <w:tcPr>
            <w:tcW w:w="247.40pt" w:type="dxa"/>
            <w:tcBorders>
              <w:start w:val="single" w:sz="4" w:space="0" w:color="000000"/>
            </w:tcBorders>
          </w:tcPr>
          <w:p w14:paraId="092FE1DE" w14:textId="77777777" w:rsidR="00C95F76" w:rsidRDefault="00C95F76">
            <w:pPr>
              <w:pStyle w:val="TableContents"/>
            </w:pPr>
          </w:p>
        </w:tc>
        <w:tc>
          <w:tcPr>
            <w:tcW w:w="247.45pt" w:type="dxa"/>
            <w:tcBorders>
              <w:start w:val="single" w:sz="4" w:space="0" w:color="000000"/>
              <w:end w:val="single" w:sz="4" w:space="0" w:color="000000"/>
            </w:tcBorders>
          </w:tcPr>
          <w:p w14:paraId="0CF8A77E" w14:textId="77777777" w:rsidR="00C95F76" w:rsidRDefault="00C95F76"/>
        </w:tc>
      </w:tr>
      <w:tr w:rsidR="00C95F76" w14:paraId="47B15266" w14:textId="77777777" w:rsidTr="00783343">
        <w:trPr>
          <w:cantSplit/>
        </w:trPr>
        <w:tc>
          <w:tcPr>
            <w:tcW w:w="247.35pt" w:type="dxa"/>
            <w:tcBorders>
              <w:start w:val="single" w:sz="4" w:space="0" w:color="000000"/>
            </w:tcBorders>
          </w:tcPr>
          <w:p w14:paraId="7FA41AE5" w14:textId="77777777" w:rsidR="00C95F76" w:rsidRDefault="005C63D5">
            <w:pPr>
              <w:pStyle w:val="TableContents"/>
            </w:pPr>
            <w:r>
              <w:rPr>
                <w:vertAlign w:val="superscript"/>
              </w:rPr>
              <w:t>5</w:t>
            </w:r>
            <w:r>
              <w:t> Die Besoldungsverordnung</w:t>
            </w:r>
            <w:r>
              <w:rPr>
                <w:rStyle w:val="Funotenzeichen"/>
              </w:rPr>
              <w:footnoteReference w:id="1"/>
            </w:r>
            <w:r>
              <w:rPr>
                <w:rStyle w:val="Funotenzeichen"/>
              </w:rPr>
              <w:t>)</w:t>
            </w:r>
            <w:r>
              <w:t xml:space="preserve"> regelt das Nähere.</w:t>
            </w:r>
          </w:p>
        </w:tc>
        <w:tc>
          <w:tcPr>
            <w:tcW w:w="247.40pt" w:type="dxa"/>
            <w:tcBorders>
              <w:start w:val="single" w:sz="4" w:space="0" w:color="000000"/>
            </w:tcBorders>
          </w:tcPr>
          <w:p w14:paraId="55A8C052" w14:textId="77777777" w:rsidR="00C95F76" w:rsidRDefault="00C95F76">
            <w:pPr>
              <w:pStyle w:val="TableContents"/>
            </w:pPr>
          </w:p>
        </w:tc>
        <w:tc>
          <w:tcPr>
            <w:tcW w:w="247.45pt" w:type="dxa"/>
            <w:tcBorders>
              <w:start w:val="single" w:sz="4" w:space="0" w:color="000000"/>
              <w:end w:val="single" w:sz="4" w:space="0" w:color="000000"/>
            </w:tcBorders>
          </w:tcPr>
          <w:p w14:paraId="45E6F0D1" w14:textId="77777777" w:rsidR="00C95F76" w:rsidRDefault="00C95F76"/>
        </w:tc>
      </w:tr>
      <w:tr w:rsidR="00C95F76" w14:paraId="453B2E28" w14:textId="77777777" w:rsidTr="00783343">
        <w:tc>
          <w:tcPr>
            <w:tcW w:w="247.35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FFFFFF"/>
          </w:tcPr>
          <w:p w14:paraId="78B2F00A" w14:textId="77777777" w:rsidR="00C95F76" w:rsidRDefault="00C95F76"/>
        </w:tc>
        <w:tc>
          <w:tcPr>
            <w:tcW w:w="247.4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FFFFFF"/>
          </w:tcPr>
          <w:p w14:paraId="03AF9970" w14:textId="77777777" w:rsidR="00C95F76" w:rsidRDefault="005C63D5">
            <w:pPr>
              <w:keepNext/>
            </w:pPr>
            <w:r>
              <w:rPr>
                <w:b/>
              </w:rPr>
              <w:t>2.</w:t>
            </w:r>
          </w:p>
          <w:p w14:paraId="029DFD16" w14:textId="77777777" w:rsidR="00C95F76" w:rsidRDefault="005C63D5">
            <w:pPr>
              <w:pStyle w:val="Nebenzitat"/>
            </w:pPr>
            <w:r>
              <w:t xml:space="preserve">Der Erlass «Gesetz über den Datenschutz (Datenschutzgesetz; bGS </w:t>
            </w:r>
            <w:hyperlink r:id="rId8" w:history="1">
              <w:r>
                <w:rPr>
                  <w:rStyle w:val="Hyperlink"/>
                </w:rPr>
                <w:t>146.1</w:t>
              </w:r>
            </w:hyperlink>
            <w:r>
              <w:t>) vom 18. Juni 2001 (Stand 1. Januar 2025)» wird wie folgt geändert:</w:t>
            </w:r>
          </w:p>
        </w:tc>
        <w:tc>
          <w:tcPr>
            <w:tcW w:w="247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FFFF"/>
          </w:tcPr>
          <w:p w14:paraId="0202EC98" w14:textId="77777777" w:rsidR="00C95F76" w:rsidRDefault="00C95F76"/>
        </w:tc>
      </w:tr>
      <w:tr w:rsidR="00C95F76" w14:paraId="5BEFE155" w14:textId="77777777" w:rsidTr="00783343">
        <w:trPr>
          <w:cantSplit/>
        </w:trPr>
        <w:tc>
          <w:tcPr>
            <w:tcW w:w="247.35pt" w:type="dxa"/>
            <w:tcBorders>
              <w:top w:val="single" w:sz="4" w:space="0" w:color="000000"/>
              <w:start w:val="single" w:sz="4" w:space="0" w:color="000000"/>
            </w:tcBorders>
          </w:tcPr>
          <w:p w14:paraId="0A668215" w14:textId="77777777" w:rsidR="00C95F76" w:rsidRDefault="005C63D5">
            <w:pPr>
              <w:pStyle w:val="TableContents"/>
            </w:pPr>
            <w:r>
              <w:rPr>
                <w:b/>
                <w:bCs/>
              </w:rPr>
              <w:t>Art.  26</w:t>
            </w:r>
            <w:r>
              <w:br/>
            </w:r>
            <w:r>
              <w:rPr>
                <w:sz w:val="14"/>
              </w:rPr>
              <w:t>Datenschutz-Kontrollorgan</w:t>
            </w:r>
          </w:p>
        </w:tc>
        <w:tc>
          <w:tcPr>
            <w:tcW w:w="247.40pt" w:type="dxa"/>
            <w:tcBorders>
              <w:top w:val="single" w:sz="4" w:space="0" w:color="000000"/>
              <w:start w:val="single" w:sz="4" w:space="0" w:color="000000"/>
            </w:tcBorders>
          </w:tcPr>
          <w:p w14:paraId="19990B64" w14:textId="77777777" w:rsidR="00C95F76" w:rsidRDefault="00C95F76">
            <w:pPr>
              <w:pStyle w:val="TableContents"/>
            </w:pPr>
          </w:p>
        </w:tc>
        <w:tc>
          <w:tcPr>
            <w:tcW w:w="247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1F56B1CE" w14:textId="77777777" w:rsidR="00C95F76" w:rsidRDefault="00C95F76"/>
        </w:tc>
      </w:tr>
      <w:tr w:rsidR="00C95F76" w14:paraId="76F9860C" w14:textId="77777777" w:rsidTr="00783343">
        <w:trPr>
          <w:cantSplit/>
        </w:trPr>
        <w:tc>
          <w:tcPr>
            <w:tcW w:w="247.35pt" w:type="dxa"/>
            <w:tcBorders>
              <w:start w:val="single" w:sz="4" w:space="0" w:color="000000"/>
            </w:tcBorders>
          </w:tcPr>
          <w:p w14:paraId="1CA46E3F" w14:textId="77777777" w:rsidR="00C95F76" w:rsidRDefault="005C63D5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Der Kantonsrat wählt eine in Datenschutzfragen ausgewiesene Fachperson als unabhängiges und nicht weisungsgebundenes kantonales Datenschutz-Kontrollorgan. Die Wahl erfolgt auf eine Amtsdauer von vier Jahren; Wiederwahl ist zulässig.</w:t>
            </w:r>
          </w:p>
        </w:tc>
        <w:tc>
          <w:tcPr>
            <w:tcW w:w="247.40pt" w:type="dxa"/>
            <w:tcBorders>
              <w:start w:val="single" w:sz="4" w:space="0" w:color="000000"/>
            </w:tcBorders>
          </w:tcPr>
          <w:p w14:paraId="6B261DBB" w14:textId="77777777" w:rsidR="00C95F76" w:rsidRDefault="00C95F76">
            <w:pPr>
              <w:pStyle w:val="TableContents"/>
            </w:pPr>
          </w:p>
        </w:tc>
        <w:tc>
          <w:tcPr>
            <w:tcW w:w="247.45pt" w:type="dxa"/>
            <w:tcBorders>
              <w:start w:val="single" w:sz="4" w:space="0" w:color="000000"/>
              <w:end w:val="single" w:sz="4" w:space="0" w:color="000000"/>
            </w:tcBorders>
          </w:tcPr>
          <w:p w14:paraId="304F8DA3" w14:textId="77777777" w:rsidR="00C95F76" w:rsidRDefault="00C95F76"/>
        </w:tc>
      </w:tr>
      <w:tr w:rsidR="00C95F76" w14:paraId="6C1B9D6D" w14:textId="77777777" w:rsidTr="00783343">
        <w:trPr>
          <w:cantSplit/>
        </w:trPr>
        <w:tc>
          <w:tcPr>
            <w:tcW w:w="247.35pt" w:type="dxa"/>
            <w:tcBorders>
              <w:start w:val="single" w:sz="4" w:space="0" w:color="000000"/>
            </w:tcBorders>
          </w:tcPr>
          <w:p w14:paraId="5D986069" w14:textId="77777777" w:rsidR="00C95F76" w:rsidRDefault="005C63D5">
            <w:pPr>
              <w:pStyle w:val="TableContents"/>
            </w:pPr>
            <w:r>
              <w:rPr>
                <w:vertAlign w:val="superscript"/>
              </w:rPr>
              <w:t>1bis</w:t>
            </w:r>
            <w:r>
              <w:t> Das Datenschutz-Kontrollorgan darf keine andere öffentliche oder private Tätigkeit ausüben, welche die Unabhängigkeit oder das Ansehen des Amtes beeinträchtigen könnte.</w:t>
            </w:r>
          </w:p>
        </w:tc>
        <w:tc>
          <w:tcPr>
            <w:tcW w:w="247.40pt" w:type="dxa"/>
            <w:tcBorders>
              <w:start w:val="single" w:sz="4" w:space="0" w:color="000000"/>
            </w:tcBorders>
          </w:tcPr>
          <w:p w14:paraId="39B78545" w14:textId="77777777" w:rsidR="00C95F76" w:rsidRDefault="00C95F76">
            <w:pPr>
              <w:pStyle w:val="TableContents"/>
            </w:pPr>
          </w:p>
        </w:tc>
        <w:tc>
          <w:tcPr>
            <w:tcW w:w="247.45pt" w:type="dxa"/>
            <w:tcBorders>
              <w:start w:val="single" w:sz="4" w:space="0" w:color="000000"/>
              <w:end w:val="single" w:sz="4" w:space="0" w:color="000000"/>
            </w:tcBorders>
          </w:tcPr>
          <w:p w14:paraId="50807BD6" w14:textId="77777777" w:rsidR="00C95F76" w:rsidRDefault="00C95F76"/>
        </w:tc>
      </w:tr>
      <w:tr w:rsidR="00C95F76" w14:paraId="0F124D3D" w14:textId="77777777" w:rsidTr="00783343">
        <w:trPr>
          <w:cantSplit/>
        </w:trPr>
        <w:tc>
          <w:tcPr>
            <w:tcW w:w="247.35pt" w:type="dxa"/>
            <w:tcBorders>
              <w:start w:val="single" w:sz="4" w:space="0" w:color="000000"/>
            </w:tcBorders>
          </w:tcPr>
          <w:p w14:paraId="7A7352E2" w14:textId="77777777" w:rsidR="00C95F76" w:rsidRDefault="005C63D5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Das kantonale Datenschutz-Kontrollorgan übt die Aufsicht über die Anwendung dieses Gesetzes durch den Kanton, die Gemeinden und die öffentlich-rechtlichen Körperschaften und Anstalten aus. Die Kosten trägt der Kanton.</w:t>
            </w:r>
          </w:p>
        </w:tc>
        <w:tc>
          <w:tcPr>
            <w:tcW w:w="247.40pt" w:type="dxa"/>
            <w:tcBorders>
              <w:start w:val="single" w:sz="4" w:space="0" w:color="000000"/>
            </w:tcBorders>
          </w:tcPr>
          <w:p w14:paraId="353FA4B5" w14:textId="77777777" w:rsidR="00C95F76" w:rsidRDefault="005C63D5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Das kantonale Datenschutz-Kontrollorgan übt die Aufsicht über die Anwendung dieses Gesetzes durch den Kanton, die Gemeinden und die öffentlich-rechtlichen Körperschaften und Anstalten aus. Der Kanton trägt die Hälfte der Kosten, die andere Hälfte wird nach Einwohnerzahlen auf die Gemeinden verteilt.</w:t>
            </w:r>
          </w:p>
        </w:tc>
        <w:tc>
          <w:tcPr>
            <w:tcW w:w="247.45pt" w:type="dxa"/>
            <w:tcBorders>
              <w:start w:val="single" w:sz="4" w:space="0" w:color="000000"/>
              <w:end w:val="single" w:sz="4" w:space="0" w:color="000000"/>
            </w:tcBorders>
          </w:tcPr>
          <w:p w14:paraId="659E904A" w14:textId="77777777" w:rsidR="00C95F76" w:rsidRDefault="00C95F76"/>
        </w:tc>
      </w:tr>
      <w:tr w:rsidR="00C95F76" w14:paraId="64D2136E" w14:textId="77777777" w:rsidTr="00783343">
        <w:trPr>
          <w:cantSplit/>
        </w:trPr>
        <w:tc>
          <w:tcPr>
            <w:tcW w:w="247.35pt" w:type="dxa"/>
            <w:tcBorders>
              <w:start w:val="single" w:sz="4" w:space="0" w:color="000000"/>
            </w:tcBorders>
          </w:tcPr>
          <w:p w14:paraId="4C29D548" w14:textId="77777777" w:rsidR="00C95F76" w:rsidRDefault="005C63D5">
            <w:pPr>
              <w:pStyle w:val="TableContents"/>
            </w:pPr>
            <w:r>
              <w:rPr>
                <w:vertAlign w:val="superscript"/>
              </w:rPr>
              <w:t>2bis</w:t>
            </w:r>
            <w:r>
              <w:t> Der Kantonsrat regelt die Entschädigung des Datenschutz-Kontrollorgans mit einer Leistungsvereinbarung. Er kann anstelle der Leistungsvereinbarung eine Unterstellung unter das Personalrecht des Kantons vorsehen; die Unabhängigkeit des Datenschutz-Kontrollorgans darf dadurch nicht beeinträchtigt werden.</w:t>
            </w:r>
          </w:p>
        </w:tc>
        <w:tc>
          <w:tcPr>
            <w:tcW w:w="247.40pt" w:type="dxa"/>
            <w:tcBorders>
              <w:start w:val="single" w:sz="4" w:space="0" w:color="000000"/>
            </w:tcBorders>
          </w:tcPr>
          <w:p w14:paraId="7BE806DD" w14:textId="77777777" w:rsidR="00C95F76" w:rsidRDefault="00C95F76">
            <w:pPr>
              <w:pStyle w:val="TableContents"/>
            </w:pPr>
          </w:p>
        </w:tc>
        <w:tc>
          <w:tcPr>
            <w:tcW w:w="247.45pt" w:type="dxa"/>
            <w:tcBorders>
              <w:start w:val="single" w:sz="4" w:space="0" w:color="000000"/>
              <w:end w:val="single" w:sz="4" w:space="0" w:color="000000"/>
            </w:tcBorders>
          </w:tcPr>
          <w:p w14:paraId="0F5C5914" w14:textId="77777777" w:rsidR="00C95F76" w:rsidRDefault="00C95F76"/>
        </w:tc>
      </w:tr>
      <w:tr w:rsidR="00C95F76" w14:paraId="21AD5061" w14:textId="77777777" w:rsidTr="00783343">
        <w:trPr>
          <w:cantSplit/>
        </w:trPr>
        <w:tc>
          <w:tcPr>
            <w:tcW w:w="247.35pt" w:type="dxa"/>
            <w:tcBorders>
              <w:start w:val="single" w:sz="4" w:space="0" w:color="000000"/>
            </w:tcBorders>
          </w:tcPr>
          <w:p w14:paraId="6A404185" w14:textId="77777777" w:rsidR="00C95F76" w:rsidRDefault="005C63D5">
            <w:pPr>
              <w:pStyle w:val="TableContents"/>
            </w:pPr>
            <w:r>
              <w:rPr>
                <w:vertAlign w:val="superscript"/>
              </w:rPr>
              <w:t>3</w:t>
            </w:r>
            <w:r>
              <w:t> Der Kantonsrat ist befugt, die Aufgabe des Datenschutz-Kontrollorgans einer kantonsübergreifenden Datenschutzstelle zu übertragen.</w:t>
            </w:r>
          </w:p>
        </w:tc>
        <w:tc>
          <w:tcPr>
            <w:tcW w:w="247.40pt" w:type="dxa"/>
            <w:tcBorders>
              <w:start w:val="single" w:sz="4" w:space="0" w:color="000000"/>
            </w:tcBorders>
          </w:tcPr>
          <w:p w14:paraId="3E1E6DFF" w14:textId="77777777" w:rsidR="00C95F76" w:rsidRDefault="00C95F76">
            <w:pPr>
              <w:pStyle w:val="TableContents"/>
            </w:pPr>
          </w:p>
        </w:tc>
        <w:tc>
          <w:tcPr>
            <w:tcW w:w="247.45pt" w:type="dxa"/>
            <w:tcBorders>
              <w:start w:val="single" w:sz="4" w:space="0" w:color="000000"/>
              <w:end w:val="single" w:sz="4" w:space="0" w:color="000000"/>
            </w:tcBorders>
          </w:tcPr>
          <w:p w14:paraId="306EB1F2" w14:textId="77777777" w:rsidR="00C95F76" w:rsidRDefault="00C95F76"/>
        </w:tc>
      </w:tr>
      <w:tr w:rsidR="00C95F76" w14:paraId="31F9AA07" w14:textId="77777777" w:rsidTr="00783343">
        <w:tc>
          <w:tcPr>
            <w:tcW w:w="247.35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FFFFFF"/>
          </w:tcPr>
          <w:p w14:paraId="40F7DDB6" w14:textId="77777777" w:rsidR="00C95F76" w:rsidRDefault="00C95F76"/>
        </w:tc>
        <w:tc>
          <w:tcPr>
            <w:tcW w:w="247.4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FFFFFF"/>
          </w:tcPr>
          <w:p w14:paraId="0001733A" w14:textId="61F7ED40" w:rsidR="00C95F76" w:rsidRDefault="00BB308D">
            <w:pPr>
              <w:keepNext/>
            </w:pPr>
            <w:r>
              <w:rPr>
                <w:b/>
              </w:rPr>
              <w:t>3</w:t>
            </w:r>
            <w:r w:rsidR="005C63D5">
              <w:rPr>
                <w:b/>
              </w:rPr>
              <w:t>.</w:t>
            </w:r>
          </w:p>
          <w:p w14:paraId="52AE1EF5" w14:textId="77777777" w:rsidR="00C95F76" w:rsidRDefault="005C63D5">
            <w:pPr>
              <w:pStyle w:val="Nebenzitat"/>
            </w:pPr>
            <w:r>
              <w:t xml:space="preserve">Der Erlass «Steuergesetz (bGS </w:t>
            </w:r>
            <w:hyperlink r:id="rId9" w:history="1">
              <w:r>
                <w:rPr>
                  <w:rStyle w:val="Hyperlink"/>
                </w:rPr>
                <w:t>621.11</w:t>
              </w:r>
            </w:hyperlink>
            <w:r>
              <w:t>) vom 21. Mai 2000 (Stand 1. Januar 2025)» wird wie folgt geändert:</w:t>
            </w:r>
          </w:p>
        </w:tc>
        <w:tc>
          <w:tcPr>
            <w:tcW w:w="247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FFFF"/>
          </w:tcPr>
          <w:p w14:paraId="7CE68142" w14:textId="77777777" w:rsidR="00C95F76" w:rsidRDefault="00C95F76"/>
        </w:tc>
      </w:tr>
      <w:tr w:rsidR="00C95F76" w14:paraId="7D2932A3" w14:textId="77777777" w:rsidTr="00783343">
        <w:trPr>
          <w:cantSplit/>
        </w:trPr>
        <w:tc>
          <w:tcPr>
            <w:tcW w:w="247.35pt" w:type="dxa"/>
            <w:tcBorders>
              <w:top w:val="single" w:sz="4" w:space="0" w:color="000000"/>
              <w:start w:val="single" w:sz="4" w:space="0" w:color="000000"/>
            </w:tcBorders>
          </w:tcPr>
          <w:p w14:paraId="51FC9B7E" w14:textId="77777777" w:rsidR="00C95F76" w:rsidRDefault="005C63D5">
            <w:pPr>
              <w:pStyle w:val="TableContents"/>
            </w:pPr>
            <w:r>
              <w:rPr>
                <w:b/>
                <w:bCs/>
              </w:rPr>
              <w:t>Art.  218</w:t>
            </w:r>
            <w:r>
              <w:br/>
            </w:r>
            <w:r>
              <w:rPr>
                <w:sz w:val="14"/>
              </w:rPr>
              <w:t>XIV. Ablieferung</w:t>
            </w:r>
          </w:p>
        </w:tc>
        <w:tc>
          <w:tcPr>
            <w:tcW w:w="247.40pt" w:type="dxa"/>
            <w:tcBorders>
              <w:top w:val="single" w:sz="4" w:space="0" w:color="000000"/>
              <w:start w:val="single" w:sz="4" w:space="0" w:color="000000"/>
            </w:tcBorders>
          </w:tcPr>
          <w:p w14:paraId="62E61F84" w14:textId="77777777" w:rsidR="00C95F76" w:rsidRDefault="00C95F76">
            <w:pPr>
              <w:pStyle w:val="TableContents"/>
            </w:pPr>
          </w:p>
        </w:tc>
        <w:tc>
          <w:tcPr>
            <w:tcW w:w="247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3153F6A0" w14:textId="77777777" w:rsidR="00C95F76" w:rsidRDefault="00C95F76"/>
        </w:tc>
      </w:tr>
      <w:tr w:rsidR="00C95F76" w14:paraId="6E5E76B6" w14:textId="77777777" w:rsidTr="00783343">
        <w:trPr>
          <w:cantSplit/>
        </w:trPr>
        <w:tc>
          <w:tcPr>
            <w:tcW w:w="247.35pt" w:type="dxa"/>
            <w:tcBorders>
              <w:start w:val="single" w:sz="4" w:space="0" w:color="000000"/>
            </w:tcBorders>
          </w:tcPr>
          <w:p w14:paraId="3088813D" w14:textId="77777777" w:rsidR="00C95F76" w:rsidRDefault="005C63D5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Die Bezugsbehörden überweisen die bezogenen Steueranteile, welche einem anderen Gemeinwesen zustehen, monatlich. Sie rechnen jährlich ab. Im Falle einer Verspätung kann der Regierungsrat einen Verzugszins festlegen.</w:t>
            </w:r>
          </w:p>
        </w:tc>
        <w:tc>
          <w:tcPr>
            <w:tcW w:w="247.40pt" w:type="dxa"/>
            <w:tcBorders>
              <w:start w:val="single" w:sz="4" w:space="0" w:color="000000"/>
            </w:tcBorders>
          </w:tcPr>
          <w:p w14:paraId="7FD2DBE5" w14:textId="77777777" w:rsidR="00C95F76" w:rsidRDefault="00C95F76">
            <w:pPr>
              <w:pStyle w:val="TableContents"/>
            </w:pPr>
          </w:p>
        </w:tc>
        <w:tc>
          <w:tcPr>
            <w:tcW w:w="247.45pt" w:type="dxa"/>
            <w:tcBorders>
              <w:start w:val="single" w:sz="4" w:space="0" w:color="000000"/>
              <w:end w:val="single" w:sz="4" w:space="0" w:color="000000"/>
            </w:tcBorders>
          </w:tcPr>
          <w:p w14:paraId="574ADF1E" w14:textId="77777777" w:rsidR="00C95F76" w:rsidRDefault="00C95F76"/>
        </w:tc>
      </w:tr>
      <w:tr w:rsidR="00C95F76" w14:paraId="6F21EF9E" w14:textId="77777777" w:rsidTr="00783343">
        <w:trPr>
          <w:cantSplit/>
        </w:trPr>
        <w:tc>
          <w:tcPr>
            <w:tcW w:w="247.35pt" w:type="dxa"/>
            <w:tcBorders>
              <w:start w:val="single" w:sz="4" w:space="0" w:color="000000"/>
            </w:tcBorders>
          </w:tcPr>
          <w:p w14:paraId="38FD04C7" w14:textId="77777777" w:rsidR="00C95F76" w:rsidRDefault="00C95F76">
            <w:pPr>
              <w:pStyle w:val="TableContents"/>
            </w:pPr>
          </w:p>
        </w:tc>
        <w:tc>
          <w:tcPr>
            <w:tcW w:w="247.40pt" w:type="dxa"/>
            <w:tcBorders>
              <w:start w:val="single" w:sz="4" w:space="0" w:color="000000"/>
            </w:tcBorders>
          </w:tcPr>
          <w:p w14:paraId="5DAD060E" w14:textId="77777777" w:rsidR="00C95F76" w:rsidRDefault="005C63D5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Die Gemeinden entrichten auf den Ablieferungen der Kantonalen Steuerverwaltung eine Aufwandentschädigung von 1,8 Prozent. Die Aufwandentschädigung wird mit den Ablieferungen verrechnet.</w:t>
            </w:r>
          </w:p>
        </w:tc>
        <w:tc>
          <w:tcPr>
            <w:tcW w:w="247.45pt" w:type="dxa"/>
            <w:tcBorders>
              <w:start w:val="single" w:sz="4" w:space="0" w:color="000000"/>
              <w:end w:val="single" w:sz="4" w:space="0" w:color="000000"/>
            </w:tcBorders>
          </w:tcPr>
          <w:p w14:paraId="51CE3707" w14:textId="77777777" w:rsidR="00C95F76" w:rsidRDefault="00C95F76"/>
        </w:tc>
      </w:tr>
      <w:tr w:rsidR="00C95F76" w14:paraId="6FBF3CF4" w14:textId="77777777" w:rsidTr="00783343">
        <w:tc>
          <w:tcPr>
            <w:tcW w:w="247.35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FFFFFF"/>
          </w:tcPr>
          <w:p w14:paraId="03F265B5" w14:textId="77777777" w:rsidR="00C95F76" w:rsidRDefault="00C95F76"/>
        </w:tc>
        <w:tc>
          <w:tcPr>
            <w:tcW w:w="247.4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FFFFFF"/>
          </w:tcPr>
          <w:p w14:paraId="0534740D" w14:textId="14A44C39" w:rsidR="00C95F76" w:rsidRDefault="00BB308D">
            <w:pPr>
              <w:keepNext/>
            </w:pPr>
            <w:r>
              <w:rPr>
                <w:b/>
              </w:rPr>
              <w:t>4</w:t>
            </w:r>
            <w:r w:rsidR="005C63D5">
              <w:rPr>
                <w:b/>
              </w:rPr>
              <w:t>.</w:t>
            </w:r>
          </w:p>
          <w:p w14:paraId="4854B90A" w14:textId="77777777" w:rsidR="00C95F76" w:rsidRDefault="005C63D5">
            <w:pPr>
              <w:pStyle w:val="Nebenzitat"/>
            </w:pPr>
            <w:r>
              <w:t xml:space="preserve">Der Erlass «Tourismusgesetz (TG; bGS </w:t>
            </w:r>
            <w:hyperlink r:id="rId10" w:history="1">
              <w:r>
                <w:rPr>
                  <w:rStyle w:val="Hyperlink"/>
                </w:rPr>
                <w:t>955.21</w:t>
              </w:r>
            </w:hyperlink>
            <w:r>
              <w:t>) vom 13. Juni 2016 (Stand 1. Januar 2017)» wird wie folgt geändert:</w:t>
            </w:r>
          </w:p>
        </w:tc>
        <w:tc>
          <w:tcPr>
            <w:tcW w:w="247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FFFF"/>
          </w:tcPr>
          <w:p w14:paraId="754B95D0" w14:textId="77777777" w:rsidR="00C95F76" w:rsidRDefault="00C95F76"/>
        </w:tc>
      </w:tr>
      <w:tr w:rsidR="00C95F76" w14:paraId="2599BDBF" w14:textId="77777777" w:rsidTr="00783343">
        <w:trPr>
          <w:cantSplit/>
        </w:trPr>
        <w:tc>
          <w:tcPr>
            <w:tcW w:w="247.35pt" w:type="dxa"/>
            <w:tcBorders>
              <w:top w:val="single" w:sz="4" w:space="0" w:color="000000"/>
              <w:start w:val="single" w:sz="4" w:space="0" w:color="000000"/>
            </w:tcBorders>
          </w:tcPr>
          <w:p w14:paraId="1692482A" w14:textId="77777777" w:rsidR="00C95F76" w:rsidRDefault="005C63D5">
            <w:pPr>
              <w:pStyle w:val="TableContents"/>
            </w:pPr>
            <w:r>
              <w:rPr>
                <w:b/>
                <w:bCs/>
              </w:rPr>
              <w:t>Art.  5</w:t>
            </w:r>
            <w:r>
              <w:br/>
            </w:r>
            <w:r>
              <w:rPr>
                <w:sz w:val="14"/>
              </w:rPr>
              <w:t>Förderung touristisch bedeutsamer Geschäftsfelder</w:t>
            </w:r>
          </w:p>
        </w:tc>
        <w:tc>
          <w:tcPr>
            <w:tcW w:w="247.40pt" w:type="dxa"/>
            <w:tcBorders>
              <w:top w:val="single" w:sz="4" w:space="0" w:color="000000"/>
              <w:start w:val="single" w:sz="4" w:space="0" w:color="000000"/>
            </w:tcBorders>
          </w:tcPr>
          <w:p w14:paraId="04E73FEA" w14:textId="77777777" w:rsidR="00C95F76" w:rsidRDefault="00C95F76">
            <w:pPr>
              <w:pStyle w:val="TableContents"/>
            </w:pPr>
          </w:p>
        </w:tc>
        <w:tc>
          <w:tcPr>
            <w:tcW w:w="247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368BA084" w14:textId="77777777" w:rsidR="00C95F76" w:rsidRDefault="00C95F76"/>
        </w:tc>
      </w:tr>
      <w:tr w:rsidR="00C95F76" w14:paraId="70C6C480" w14:textId="77777777" w:rsidTr="00783343">
        <w:trPr>
          <w:cantSplit/>
        </w:trPr>
        <w:tc>
          <w:tcPr>
            <w:tcW w:w="247.35pt" w:type="dxa"/>
            <w:tcBorders>
              <w:start w:val="single" w:sz="4" w:space="0" w:color="000000"/>
            </w:tcBorders>
          </w:tcPr>
          <w:p w14:paraId="16112168" w14:textId="77777777" w:rsidR="00C95F76" w:rsidRDefault="005C63D5">
            <w:pPr>
              <w:pStyle w:val="TableContents"/>
            </w:pPr>
            <w:r>
              <w:rPr>
                <w:vertAlign w:val="superscript"/>
              </w:rPr>
              <w:t>1</w:t>
            </w:r>
            <w:r>
              <w:t> Der Kanton kann die Angebotsgestaltung und Vermarktung touristisch bedeutsamer Geschäftsfelder mit Finanzhilfen unterstützen. Finanzhilfen können auch für kantonsübergreifende Geschäftsfelder gewährt werden.</w:t>
            </w:r>
          </w:p>
        </w:tc>
        <w:tc>
          <w:tcPr>
            <w:tcW w:w="247.40pt" w:type="dxa"/>
            <w:tcBorders>
              <w:start w:val="single" w:sz="4" w:space="0" w:color="000000"/>
            </w:tcBorders>
          </w:tcPr>
          <w:p w14:paraId="2A3B3E2B" w14:textId="77777777" w:rsidR="00C95F76" w:rsidRDefault="00C95F76">
            <w:pPr>
              <w:pStyle w:val="TableContents"/>
            </w:pPr>
          </w:p>
        </w:tc>
        <w:tc>
          <w:tcPr>
            <w:tcW w:w="247.45pt" w:type="dxa"/>
            <w:tcBorders>
              <w:start w:val="single" w:sz="4" w:space="0" w:color="000000"/>
              <w:end w:val="single" w:sz="4" w:space="0" w:color="000000"/>
            </w:tcBorders>
          </w:tcPr>
          <w:p w14:paraId="3DCCB19E" w14:textId="77777777" w:rsidR="00C95F76" w:rsidRDefault="00C95F76"/>
        </w:tc>
      </w:tr>
      <w:tr w:rsidR="00C95F76" w14:paraId="203B7403" w14:textId="77777777" w:rsidTr="00783343">
        <w:trPr>
          <w:cantSplit/>
        </w:trPr>
        <w:tc>
          <w:tcPr>
            <w:tcW w:w="247.35pt" w:type="dxa"/>
            <w:tcBorders>
              <w:start w:val="single" w:sz="4" w:space="0" w:color="000000"/>
            </w:tcBorders>
          </w:tcPr>
          <w:p w14:paraId="146D54FE" w14:textId="77777777" w:rsidR="00C95F76" w:rsidRDefault="005C63D5">
            <w:pPr>
              <w:pStyle w:val="TableContents"/>
            </w:pPr>
            <w:r>
              <w:rPr>
                <w:vertAlign w:val="superscript"/>
              </w:rPr>
              <w:t>2</w:t>
            </w:r>
            <w:r>
              <w:t> Ein Geschäftsfeld gilt als touristisch bedeutsam, wenn es für den Kanton mittel- oder langfristig von strategischer Bedeutung ist.</w:t>
            </w:r>
          </w:p>
        </w:tc>
        <w:tc>
          <w:tcPr>
            <w:tcW w:w="247.40pt" w:type="dxa"/>
            <w:tcBorders>
              <w:start w:val="single" w:sz="4" w:space="0" w:color="000000"/>
            </w:tcBorders>
          </w:tcPr>
          <w:p w14:paraId="41625CBB" w14:textId="77777777" w:rsidR="00C95F76" w:rsidRDefault="00C95F76">
            <w:pPr>
              <w:pStyle w:val="TableContents"/>
            </w:pPr>
          </w:p>
        </w:tc>
        <w:tc>
          <w:tcPr>
            <w:tcW w:w="247.45pt" w:type="dxa"/>
            <w:tcBorders>
              <w:start w:val="single" w:sz="4" w:space="0" w:color="000000"/>
              <w:end w:val="single" w:sz="4" w:space="0" w:color="000000"/>
            </w:tcBorders>
          </w:tcPr>
          <w:p w14:paraId="758C3E35" w14:textId="77777777" w:rsidR="00C95F76" w:rsidRDefault="00C95F76"/>
        </w:tc>
      </w:tr>
      <w:tr w:rsidR="00C95F76" w14:paraId="51768572" w14:textId="77777777" w:rsidTr="00783343">
        <w:trPr>
          <w:cantSplit/>
        </w:trPr>
        <w:tc>
          <w:tcPr>
            <w:tcW w:w="247.35pt" w:type="dxa"/>
            <w:tcBorders>
              <w:start w:val="single" w:sz="4" w:space="0" w:color="000000"/>
            </w:tcBorders>
          </w:tcPr>
          <w:p w14:paraId="23DE5B34" w14:textId="77777777" w:rsidR="00C95F76" w:rsidRDefault="005C63D5">
            <w:pPr>
              <w:pStyle w:val="TableContents"/>
            </w:pPr>
            <w:r>
              <w:rPr>
                <w:vertAlign w:val="superscript"/>
              </w:rPr>
              <w:t>3</w:t>
            </w:r>
            <w:r>
              <w:t> Die Finanzhilfe beträgt maximal 70 % der ausgewiesenen Kosten pro Geschäftsfeld und Jahr.</w:t>
            </w:r>
          </w:p>
        </w:tc>
        <w:tc>
          <w:tcPr>
            <w:tcW w:w="247.40pt" w:type="dxa"/>
            <w:tcBorders>
              <w:start w:val="single" w:sz="4" w:space="0" w:color="000000"/>
            </w:tcBorders>
          </w:tcPr>
          <w:p w14:paraId="245D91A4" w14:textId="77777777" w:rsidR="00C95F76" w:rsidRDefault="005C63D5">
            <w:pPr>
              <w:pStyle w:val="TableContents"/>
            </w:pPr>
            <w:r>
              <w:rPr>
                <w:vertAlign w:val="superscript"/>
              </w:rPr>
              <w:t>3</w:t>
            </w:r>
            <w:r>
              <w:t> Die Finanzhilfe beträgt maximal 50 % der ausgewiesenen Kosten pro Geschäftsfeld und Jahr.</w:t>
            </w:r>
          </w:p>
        </w:tc>
        <w:tc>
          <w:tcPr>
            <w:tcW w:w="247.45pt" w:type="dxa"/>
            <w:tcBorders>
              <w:start w:val="single" w:sz="4" w:space="0" w:color="000000"/>
              <w:end w:val="single" w:sz="4" w:space="0" w:color="000000"/>
            </w:tcBorders>
          </w:tcPr>
          <w:p w14:paraId="34A8F973" w14:textId="77777777" w:rsidR="00C95F76" w:rsidRDefault="00C95F76"/>
        </w:tc>
      </w:tr>
      <w:tr w:rsidR="00783343" w14:paraId="0A823A1C" w14:textId="77777777" w:rsidTr="00783343">
        <w:trPr>
          <w:cantSplit/>
        </w:trPr>
        <w:tc>
          <w:tcPr>
            <w:tcW w:w="247.35pt" w:type="dxa"/>
            <w:tcBorders>
              <w:start w:val="single" w:sz="4" w:space="0" w:color="000000"/>
            </w:tcBorders>
          </w:tcPr>
          <w:p w14:paraId="46D24015" w14:textId="77777777" w:rsidR="00783343" w:rsidRDefault="00783343">
            <w:pPr>
              <w:pStyle w:val="TableContents"/>
              <w:rPr>
                <w:vertAlign w:val="superscript"/>
              </w:rPr>
            </w:pPr>
          </w:p>
        </w:tc>
        <w:tc>
          <w:tcPr>
            <w:tcW w:w="247.40pt" w:type="dxa"/>
            <w:tcBorders>
              <w:start w:val="single" w:sz="4" w:space="0" w:color="000000"/>
            </w:tcBorders>
          </w:tcPr>
          <w:p w14:paraId="0AF13B5A" w14:textId="77777777" w:rsidR="00783343" w:rsidRDefault="00783343">
            <w:pPr>
              <w:pStyle w:val="TableContents"/>
              <w:rPr>
                <w:vertAlign w:val="superscript"/>
              </w:rPr>
            </w:pPr>
          </w:p>
        </w:tc>
        <w:tc>
          <w:tcPr>
            <w:tcW w:w="247.45pt" w:type="dxa"/>
            <w:tcBorders>
              <w:start w:val="single" w:sz="4" w:space="0" w:color="000000"/>
              <w:end w:val="single" w:sz="4" w:space="0" w:color="000000"/>
            </w:tcBorders>
          </w:tcPr>
          <w:p w14:paraId="637E9760" w14:textId="77777777" w:rsidR="00783343" w:rsidRDefault="00783343"/>
        </w:tc>
      </w:tr>
      <w:tr w:rsidR="00C95F76" w14:paraId="7D46FF3A" w14:textId="77777777" w:rsidTr="00783343">
        <w:tc>
          <w:tcPr>
            <w:tcW w:w="247.35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FFFFFF"/>
          </w:tcPr>
          <w:p w14:paraId="4AEA49FE" w14:textId="77777777" w:rsidR="00783343" w:rsidRDefault="00783343"/>
        </w:tc>
        <w:tc>
          <w:tcPr>
            <w:tcW w:w="247.4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FFFFFF"/>
          </w:tcPr>
          <w:p w14:paraId="19257E7A" w14:textId="77777777" w:rsidR="00C95F76" w:rsidRDefault="005C63D5">
            <w:pPr>
              <w:pStyle w:val="Abschnittstitel"/>
            </w:pPr>
            <w:r>
              <w:t>III.</w:t>
            </w:r>
          </w:p>
        </w:tc>
        <w:tc>
          <w:tcPr>
            <w:tcW w:w="247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FFFF"/>
          </w:tcPr>
          <w:p w14:paraId="4E71C2B2" w14:textId="77777777" w:rsidR="00C95F76" w:rsidRDefault="00C95F76"/>
        </w:tc>
      </w:tr>
      <w:tr w:rsidR="00C95F76" w14:paraId="5EB7BBA1" w14:textId="77777777" w:rsidTr="00783343">
        <w:tc>
          <w:tcPr>
            <w:tcW w:w="247.35pt" w:type="dxa"/>
            <w:tcBorders>
              <w:top w:val="single" w:sz="4" w:space="0" w:color="000000"/>
              <w:start w:val="single" w:sz="4" w:space="0" w:color="000000"/>
            </w:tcBorders>
          </w:tcPr>
          <w:p w14:paraId="27BA48BC" w14:textId="77777777" w:rsidR="00C95F76" w:rsidRDefault="00C95F76">
            <w:pPr>
              <w:pStyle w:val="EmptySectionRemark"/>
            </w:pPr>
          </w:p>
        </w:tc>
        <w:tc>
          <w:tcPr>
            <w:tcW w:w="247.40pt" w:type="dxa"/>
            <w:tcBorders>
              <w:top w:val="single" w:sz="4" w:space="0" w:color="000000"/>
              <w:start w:val="single" w:sz="4" w:space="0" w:color="000000"/>
            </w:tcBorders>
          </w:tcPr>
          <w:p w14:paraId="30852718" w14:textId="77777777" w:rsidR="00C95F76" w:rsidRDefault="005C63D5">
            <w:pPr>
              <w:pStyle w:val="EmptySectionRemark"/>
            </w:pPr>
            <w:r>
              <w:t>Keine Fremdaufhebungen.</w:t>
            </w:r>
          </w:p>
        </w:tc>
        <w:tc>
          <w:tcPr>
            <w:tcW w:w="247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14:paraId="7F39928A" w14:textId="77777777" w:rsidR="00C95F76" w:rsidRDefault="00C95F76"/>
        </w:tc>
      </w:tr>
      <w:tr w:rsidR="00C95F76" w14:paraId="4C2DBB59" w14:textId="77777777" w:rsidTr="00783343">
        <w:tc>
          <w:tcPr>
            <w:tcW w:w="247.35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FFFFFF"/>
          </w:tcPr>
          <w:p w14:paraId="49A6074C" w14:textId="77777777" w:rsidR="00C95F76" w:rsidRDefault="00C95F76"/>
        </w:tc>
        <w:tc>
          <w:tcPr>
            <w:tcW w:w="247.4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FFFFFF"/>
          </w:tcPr>
          <w:p w14:paraId="0172D976" w14:textId="77777777" w:rsidR="00C95F76" w:rsidRDefault="005C63D5">
            <w:pPr>
              <w:pStyle w:val="Abschnittstitel"/>
            </w:pPr>
            <w:r>
              <w:t>IV.</w:t>
            </w:r>
          </w:p>
        </w:tc>
        <w:tc>
          <w:tcPr>
            <w:tcW w:w="247.4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FFFF"/>
          </w:tcPr>
          <w:p w14:paraId="2E0D3818" w14:textId="77777777" w:rsidR="00C95F76" w:rsidRDefault="00C95F76"/>
        </w:tc>
      </w:tr>
      <w:tr w:rsidR="00C95F76" w14:paraId="6F70BAAE" w14:textId="77777777" w:rsidTr="00783343">
        <w:tc>
          <w:tcPr>
            <w:tcW w:w="247.35pt" w:type="dxa"/>
            <w:tcBorders>
              <w:start w:val="single" w:sz="4" w:space="0" w:color="000000"/>
              <w:bottom w:val="single" w:sz="4" w:space="0" w:color="000000"/>
            </w:tcBorders>
          </w:tcPr>
          <w:p w14:paraId="11792761" w14:textId="77777777" w:rsidR="00C95F76" w:rsidRDefault="00C95F76"/>
        </w:tc>
        <w:tc>
          <w:tcPr>
            <w:tcW w:w="247.40pt" w:type="dxa"/>
            <w:tcBorders>
              <w:start w:val="single" w:sz="4" w:space="0" w:color="000000"/>
              <w:bottom w:val="single" w:sz="4" w:space="0" w:color="000000"/>
            </w:tcBorders>
          </w:tcPr>
          <w:p w14:paraId="6FE86E88" w14:textId="77777777" w:rsidR="00C95F76" w:rsidRDefault="005C63D5">
            <w:pPr>
              <w:pStyle w:val="TableContents"/>
            </w:pPr>
            <w:r>
              <w:t>Dieses Gesetz untersteht dem fakultativen Referendum.</w:t>
            </w:r>
            <w:r>
              <w:br/>
              <w:t>Der Regierungsrat bestimmt das Inkrafttreten.</w:t>
            </w:r>
          </w:p>
        </w:tc>
        <w:tc>
          <w:tcPr>
            <w:tcW w:w="247.4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42E53D62" w14:textId="77777777" w:rsidR="00C95F76" w:rsidRDefault="00C95F76"/>
        </w:tc>
      </w:tr>
    </w:tbl>
    <w:p w14:paraId="52B69C7F" w14:textId="77777777" w:rsidR="00C95F76" w:rsidRDefault="00C95F76"/>
    <w:sectPr w:rsidR="00C95F76">
      <w:headerReference w:type="even" r:id="rId11"/>
      <w:headerReference w:type="default" r:id="rId12"/>
      <w:headerReference w:type="first" r:id="rId13"/>
      <w:pgSz w:w="841.90pt" w:h="595.30pt" w:orient="landscape"/>
      <w:pgMar w:top="56.65pt" w:right="42.50pt" w:bottom="42.50pt" w:left="56.70pt" w:header="42.50pt" w:footer="28.35pt" w:gutter="0pt"/>
      <w:cols w:space="36pt"/>
      <w:titlePg/>
      <w:docGrid w:linePitch="245" w:charSpace="921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AE5D08F" w14:textId="77777777" w:rsidR="002F328F" w:rsidRDefault="002F328F">
      <w:r>
        <w:separator/>
      </w:r>
    </w:p>
  </w:endnote>
  <w:endnote w:type="continuationSeparator" w:id="0">
    <w:p w14:paraId="14ADC321" w14:textId="77777777" w:rsidR="002F328F" w:rsidRDefault="002F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FBBC18D" w14:textId="77777777" w:rsidR="002F328F" w:rsidRDefault="002F328F">
      <w:r>
        <w:separator/>
      </w:r>
    </w:p>
  </w:footnote>
  <w:footnote w:type="continuationSeparator" w:id="0">
    <w:p w14:paraId="39460756" w14:textId="77777777" w:rsidR="002F328F" w:rsidRDefault="002F328F">
      <w:r>
        <w:continuationSeparator/>
      </w:r>
    </w:p>
  </w:footnote>
  <w:footnote w:id="1">
    <w:p w14:paraId="1C9F35B6" w14:textId="77777777" w:rsidR="00C95F76" w:rsidRDefault="005C63D5">
      <w:pPr>
        <w:pStyle w:val="Funotentext"/>
      </w:pPr>
      <w:r>
        <w:rPr>
          <w:rStyle w:val="FootnoteCharacters"/>
        </w:rPr>
        <w:footnoteRef/>
      </w:r>
      <w:r>
        <w:rPr>
          <w:vertAlign w:val="superscript"/>
        </w:rPr>
        <w:t>)</w:t>
      </w:r>
      <w:r>
        <w:tab/>
        <w:t xml:space="preserve">BVO (bGS </w:t>
      </w:r>
      <w:hyperlink r:id="rId1" w:history="1">
        <w:r>
          <w:rPr>
            <w:rStyle w:val="Hyperlink"/>
          </w:rPr>
          <w:t>142.211</w:t>
        </w:r>
      </w:hyperlink>
      <w:r>
        <w:t>)</w:t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CA26194" w14:textId="77777777" w:rsidR="00C95F76" w:rsidRDefault="005C63D5">
    <w:pPr>
      <w:pStyle w:val="Kopfzeile"/>
      <w:spacing w:line="12pt" w:lineRule="exact"/>
      <w:jc w:val="center"/>
      <w:rPr>
        <w:sz w:val="22"/>
      </w:rPr>
    </w:pPr>
    <w:r>
      <w:rPr>
        <w:sz w:val="16"/>
      </w:rPr>
      <w:t xml:space="preserve">-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4</w:t>
    </w:r>
    <w:r>
      <w:rPr>
        <w:sz w:val="16"/>
      </w:rPr>
      <w:fldChar w:fldCharType="end"/>
    </w:r>
    <w:r>
      <w:rPr>
        <w:sz w:val="16"/>
      </w:rPr>
      <w:t xml:space="preserve"> -</w:t>
    </w:r>
  </w:p>
  <w:p w14:paraId="2C866CEB" w14:textId="77777777" w:rsidR="00C95F76" w:rsidRDefault="00C95F76">
    <w:pPr>
      <w:pStyle w:val="Kopfzeile"/>
      <w:spacing w:line="12pt" w:lineRule="exact"/>
      <w:jc w:val="center"/>
      <w:rPr>
        <w:sz w:val="22"/>
      </w:rPr>
    </w:pPr>
  </w:p>
  <w:p w14:paraId="3C0D3A7B" w14:textId="77777777" w:rsidR="00C95F76" w:rsidRDefault="00C95F76">
    <w:pPr>
      <w:pStyle w:val="Kopfzeile"/>
      <w:spacing w:line="12pt" w:lineRule="exact"/>
      <w:jc w:val="center"/>
      <w:rPr>
        <w:sz w:val="22"/>
      </w:rPr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6CDA19B" w14:textId="77777777" w:rsidR="00C95F76" w:rsidRDefault="005C63D5">
    <w:pPr>
      <w:pStyle w:val="Kopfzeile"/>
      <w:spacing w:line="12pt" w:lineRule="exact"/>
      <w:jc w:val="center"/>
      <w:rPr>
        <w:sz w:val="22"/>
      </w:rPr>
    </w:pPr>
    <w:r>
      <w:rPr>
        <w:sz w:val="16"/>
      </w:rPr>
      <w:t xml:space="preserve">-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-</w:t>
    </w:r>
  </w:p>
  <w:p w14:paraId="59BD9AF6" w14:textId="77777777" w:rsidR="00C95F76" w:rsidRDefault="00C95F76">
    <w:pPr>
      <w:pStyle w:val="Kopfzeile"/>
      <w:spacing w:line="12pt" w:lineRule="exact"/>
      <w:jc w:val="center"/>
      <w:rPr>
        <w:sz w:val="22"/>
      </w:rPr>
    </w:pPr>
  </w:p>
  <w:p w14:paraId="59EEBF89" w14:textId="77777777" w:rsidR="00C95F76" w:rsidRDefault="00C95F76">
    <w:pPr>
      <w:pStyle w:val="Kopfzeile"/>
      <w:spacing w:line="12pt" w:lineRule="exact"/>
      <w:jc w:val="center"/>
      <w:rPr>
        <w:sz w:val="2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84D4C74" w14:textId="77777777" w:rsidR="00C95F76" w:rsidRDefault="00C95F76">
    <w:pPr>
      <w:pStyle w:val="Kopfzeile"/>
      <w:spacing w:line="12pt" w:lineRule="exact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%"/>
  <w:embedSystemFonts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autoHyphenation/>
  <w:hyphenationZone w:val="21.25pt"/>
  <w:defaultTableStyle w:val="Standard"/>
  <w:evenAndOddHeaders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76"/>
    <w:rsid w:val="002F328F"/>
    <w:rsid w:val="003344DA"/>
    <w:rsid w:val="003D0F0B"/>
    <w:rsid w:val="004479B8"/>
    <w:rsid w:val="004527B8"/>
    <w:rsid w:val="004E64CA"/>
    <w:rsid w:val="0053551F"/>
    <w:rsid w:val="005704F3"/>
    <w:rsid w:val="005C63D5"/>
    <w:rsid w:val="00622907"/>
    <w:rsid w:val="00734820"/>
    <w:rsid w:val="00773C54"/>
    <w:rsid w:val="00783343"/>
    <w:rsid w:val="00A36B49"/>
    <w:rsid w:val="00BB308D"/>
    <w:rsid w:val="00C51E45"/>
    <w:rsid w:val="00C95F76"/>
    <w:rsid w:val="00DC741A"/>
    <w:rsid w:val="00E638CF"/>
    <w:rsid w:val="00E70E13"/>
    <w:rsid w:val="00F4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;"/>
  <w14:docId w14:val="3BDFC3D3"/>
  <w15:docId w15:val="{595C4A12-FCDD-4049-8779-1BDE6FDF9D7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keepLines/>
      <w:widowControl w:val="0"/>
      <w:tabs>
        <w:tab w:val="end" w:pos="742.70pt"/>
      </w:tabs>
    </w:pPr>
    <w:rPr>
      <w:rFonts w:ascii="Arial" w:hAnsi="Arial"/>
      <w:lang w:val="de-CH"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ZusammenfassungHauptnderung">
    <w:name w:val="Zusammenfassung Hauptänderung"/>
    <w:rPr>
      <w:b/>
    </w:rPr>
  </w:style>
  <w:style w:type="character" w:customStyle="1" w:styleId="Zusammenfassungnderung">
    <w:name w:val="Zusammenfassung Änderung"/>
  </w:style>
  <w:style w:type="character" w:customStyle="1" w:styleId="Absatz-Standardschriftart1">
    <w:name w:val="Absatz-Standardschriftart1"/>
  </w:style>
  <w:style w:type="character" w:styleId="Funotenzeichen">
    <w:name w:val="footnote reference"/>
    <w:rPr>
      <w:b w:val="0"/>
      <w:shd w:val="clear" w:color="auto" w:fill="auto"/>
      <w:vertAlign w:val="superscript"/>
    </w:rPr>
  </w:style>
  <w:style w:type="character" w:customStyle="1" w:styleId="FootnoteCharacters">
    <w:name w:val="Footnote Characters"/>
    <w:rPr>
      <w:rFonts w:ascii="Arial" w:hAnsi="Arial"/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Endnotenzeichen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ZusammenfassungEinleitung">
    <w:name w:val="Zusammenfassung Einleitung"/>
    <w:basedOn w:val="Standard"/>
    <w:pPr>
      <w:keepNext/>
      <w:pBdr>
        <w:top w:val="single" w:sz="4" w:space="7" w:color="000000"/>
        <w:left w:val="none" w:sz="0" w:space="0" w:color="000000"/>
        <w:bottom w:val="none" w:sz="0" w:space="0" w:color="000000"/>
        <w:right w:val="none" w:sz="0" w:space="0" w:color="000000"/>
      </w:pBdr>
      <w:spacing w:after="4.25pt"/>
      <w:ind w:start="62.95pt" w:hanging="62.95pt"/>
    </w:pPr>
    <w:rPr>
      <w:position w:val="2"/>
    </w:rPr>
  </w:style>
  <w:style w:type="paragraph" w:customStyle="1" w:styleId="ZusammenfassungneueErlasse">
    <w:name w:val="Zusammenfassung neue Erlasse"/>
    <w:basedOn w:val="Standard"/>
    <w:pPr>
      <w:keepNext/>
      <w:tabs>
        <w:tab w:val="clear" w:pos="742.70pt"/>
        <w:tab w:val="start" w:pos="125.90pt"/>
      </w:tabs>
      <w:spacing w:line="11.60pt" w:lineRule="exact"/>
      <w:ind w:start="62.95pt" w:hanging="62.95pt"/>
    </w:pPr>
    <w:rPr>
      <w:position w:val="2"/>
    </w:rPr>
  </w:style>
  <w:style w:type="paragraph" w:customStyle="1" w:styleId="ZusammenfassunggenderteErlasse">
    <w:name w:val="Zusammenfassung geänderte Erlasse"/>
    <w:basedOn w:val="ZusammenfassungneueErlasse"/>
  </w:style>
  <w:style w:type="paragraph" w:customStyle="1" w:styleId="ZusammenfassungaufgehobeneErlasse">
    <w:name w:val="Zusammenfassung aufgehobene Erlasse"/>
    <w:basedOn w:val="ZusammenfassungneueErlasse"/>
    <w:pPr>
      <w:pBdr>
        <w:top w:val="none" w:sz="0" w:space="0" w:color="000000"/>
        <w:left w:val="none" w:sz="0" w:space="0" w:color="000000"/>
        <w:bottom w:val="single" w:sz="4" w:space="7" w:color="000000"/>
        <w:right w:val="none" w:sz="0" w:space="0" w:color="000000"/>
      </w:pBdr>
      <w:spacing w:after="6.50pt"/>
    </w:pPr>
  </w:style>
  <w:style w:type="paragraph" w:customStyle="1" w:styleId="Autor">
    <w:name w:val="Autor"/>
    <w:basedOn w:val="Standard"/>
    <w:rPr>
      <w:i/>
      <w:iCs/>
    </w:rPr>
  </w:style>
  <w:style w:type="paragraph" w:customStyle="1" w:styleId="Aktion">
    <w:name w:val="Aktion"/>
    <w:basedOn w:val="Standard"/>
    <w:rPr>
      <w:i/>
      <w:iCs/>
    </w:rPr>
  </w:style>
  <w:style w:type="paragraph" w:customStyle="1" w:styleId="EmptySectionRemark">
    <w:name w:val="Empty_Section_Remark"/>
    <w:basedOn w:val="Standard"/>
    <w:rPr>
      <w:i/>
      <w:iCs/>
    </w:rPr>
  </w:style>
  <w:style w:type="paragraph" w:customStyle="1" w:styleId="StandardvorAufzhlung">
    <w:name w:val="Standard vor Aufzählung"/>
    <w:basedOn w:val="Standard"/>
  </w:style>
  <w:style w:type="paragraph" w:customStyle="1" w:styleId="StandardvorTabelle">
    <w:name w:val="Standard vor Tabelle"/>
    <w:basedOn w:val="Standard"/>
  </w:style>
  <w:style w:type="paragraph" w:customStyle="1" w:styleId="StandardvorBild">
    <w:name w:val="Standard vor Bild"/>
    <w:basedOn w:val="Standard"/>
  </w:style>
  <w:style w:type="paragraph" w:customStyle="1" w:styleId="StandardBild">
    <w:name w:val="Standard Bild"/>
    <w:basedOn w:val="Standard"/>
    <w:pPr>
      <w:jc w:val="center"/>
    </w:pPr>
  </w:style>
  <w:style w:type="paragraph" w:customStyle="1" w:styleId="HeaderandFooter">
    <w:name w:val="Header and Footer"/>
    <w:basedOn w:val="Standard"/>
    <w:pPr>
      <w:suppressLineNumbers/>
      <w:tabs>
        <w:tab w:val="clear" w:pos="742.70pt"/>
        <w:tab w:val="center" w:pos="249.30pt"/>
        <w:tab w:val="end" w:pos="498.60pt"/>
      </w:tabs>
    </w:pPr>
  </w:style>
  <w:style w:type="paragraph" w:styleId="Kopfzeile">
    <w:name w:val="header"/>
    <w:pPr>
      <w:widowControl w:val="0"/>
      <w:tabs>
        <w:tab w:val="end" w:pos="742.70pt"/>
      </w:tabs>
      <w:suppressAutoHyphens/>
    </w:pPr>
    <w:rPr>
      <w:rFonts w:ascii="Arial" w:hAnsi="Arial"/>
      <w:sz w:val="18"/>
      <w:lang w:val="de-CH" w:eastAsia="zh-CN" w:bidi="hi-IN"/>
    </w:rPr>
  </w:style>
  <w:style w:type="paragraph" w:styleId="Fuzeile">
    <w:name w:val="footer"/>
    <w:basedOn w:val="Kopfzeile"/>
  </w:style>
  <w:style w:type="paragraph" w:customStyle="1" w:styleId="Erlasstitel">
    <w:name w:val="Erlasstitel"/>
    <w:basedOn w:val="Standard"/>
    <w:next w:val="Datum1"/>
    <w:pPr>
      <w:keepNext/>
      <w:suppressAutoHyphens/>
      <w:spacing w:before="12pt" w:after="12pt"/>
    </w:pPr>
    <w:rPr>
      <w:b/>
      <w:sz w:val="24"/>
    </w:rPr>
  </w:style>
  <w:style w:type="paragraph" w:customStyle="1" w:styleId="Datum1">
    <w:name w:val="Datum1"/>
    <w:basedOn w:val="Standard"/>
    <w:next w:val="Autor"/>
    <w:pPr>
      <w:keepNext/>
      <w:pBdr>
        <w:top w:val="none" w:sz="0" w:space="0" w:color="000000"/>
        <w:left w:val="none" w:sz="0" w:space="0" w:color="000000"/>
        <w:bottom w:val="single" w:sz="4" w:space="10" w:color="000000"/>
        <w:right w:val="none" w:sz="0" w:space="0" w:color="000000"/>
      </w:pBdr>
      <w:spacing w:after="12pt"/>
      <w:ind w:start="1.40pt" w:end="1.40pt"/>
    </w:pPr>
    <w:rPr>
      <w:position w:val="2"/>
    </w:rPr>
  </w:style>
  <w:style w:type="paragraph" w:customStyle="1" w:styleId="Grundlage">
    <w:name w:val="Grundlage"/>
    <w:basedOn w:val="Standard"/>
    <w:next w:val="Aktion"/>
    <w:pPr>
      <w:spacing w:before="12pt" w:after="2pt"/>
    </w:pPr>
  </w:style>
  <w:style w:type="paragraph" w:customStyle="1" w:styleId="Schluss">
    <w:name w:val="Schluss"/>
    <w:basedOn w:val="Standard"/>
    <w:pPr>
      <w:tabs>
        <w:tab w:val="clear" w:pos="742.70pt"/>
        <w:tab w:val="start" w:pos="306.20pt"/>
      </w:tabs>
      <w:spacing w:before="24pt" w:after="2pt"/>
      <w:ind w:start="153.10pt" w:hanging="153.10pt"/>
    </w:pPr>
  </w:style>
  <w:style w:type="paragraph" w:customStyle="1" w:styleId="Nebenzitat">
    <w:name w:val="Nebenzitat"/>
    <w:basedOn w:val="Standard"/>
  </w:style>
  <w:style w:type="paragraph" w:customStyle="1" w:styleId="Abschnittstitel">
    <w:name w:val="Abschnittstitel"/>
    <w:basedOn w:val="Standard"/>
    <w:pPr>
      <w:keepNext/>
      <w:suppressAutoHyphens/>
    </w:pPr>
    <w:rPr>
      <w:b/>
      <w:sz w:val="22"/>
    </w:rPr>
  </w:style>
  <w:style w:type="paragraph" w:customStyle="1" w:styleId="TitelStufe1">
    <w:name w:val="Titel Stufe 1"/>
    <w:basedOn w:val="Standard"/>
    <w:next w:val="Artikel"/>
    <w:pPr>
      <w:keepNext/>
      <w:suppressAutoHyphens/>
      <w:spacing w:before="18pt"/>
    </w:pPr>
    <w:rPr>
      <w:b/>
      <w:sz w:val="22"/>
    </w:rPr>
  </w:style>
  <w:style w:type="paragraph" w:customStyle="1" w:styleId="TitelStufe2">
    <w:name w:val="Titel Stufe 2"/>
    <w:basedOn w:val="TitelStufe1"/>
    <w:next w:val="Artikel"/>
    <w:rPr>
      <w:b w:val="0"/>
      <w:i/>
    </w:rPr>
  </w:style>
  <w:style w:type="paragraph" w:customStyle="1" w:styleId="TitelStufe3">
    <w:name w:val="Titel Stufe 3"/>
    <w:basedOn w:val="TitelStufe2"/>
    <w:next w:val="Artikel"/>
  </w:style>
  <w:style w:type="paragraph" w:customStyle="1" w:styleId="TitelStufe4">
    <w:name w:val="Titel Stufe 4"/>
    <w:basedOn w:val="TitelStufe2"/>
    <w:next w:val="Artikel"/>
  </w:style>
  <w:style w:type="paragraph" w:customStyle="1" w:styleId="TitelStufe5">
    <w:name w:val="Titel Stufe 5"/>
    <w:basedOn w:val="TitelStufe2"/>
    <w:next w:val="Artikel"/>
  </w:style>
  <w:style w:type="paragraph" w:customStyle="1" w:styleId="TitelStufe1nachTitel">
    <w:name w:val="Titel Stufe 1 nach Titel"/>
    <w:basedOn w:val="TitelStufe1"/>
    <w:next w:val="Artikel"/>
  </w:style>
  <w:style w:type="paragraph" w:customStyle="1" w:styleId="TitelStufe2nachTitel">
    <w:name w:val="Titel Stufe 2 nach Titel"/>
    <w:basedOn w:val="TitelStufe2"/>
    <w:next w:val="Artikel"/>
  </w:style>
  <w:style w:type="paragraph" w:customStyle="1" w:styleId="TitelStufe3nachTitel">
    <w:name w:val="Titel Stufe 3 nach Titel"/>
    <w:basedOn w:val="TitelStufe3"/>
    <w:next w:val="Artikel"/>
  </w:style>
  <w:style w:type="paragraph" w:customStyle="1" w:styleId="TitelStufe4nachTitel">
    <w:name w:val="Titel Stufe 4 nach Titel"/>
    <w:basedOn w:val="TitelStufe4"/>
    <w:next w:val="Artikel"/>
  </w:style>
  <w:style w:type="paragraph" w:customStyle="1" w:styleId="TitelStufe5nachTitel">
    <w:name w:val="Titel Stufe 5 nach Titel"/>
    <w:basedOn w:val="TitelStufe5"/>
    <w:next w:val="Artikel"/>
  </w:style>
  <w:style w:type="paragraph" w:styleId="Textkrper">
    <w:name w:val="Body Text"/>
    <w:basedOn w:val="Standard"/>
    <w:pPr>
      <w:spacing w:after="7pt" w:line="13.80pt" w:lineRule="auto"/>
    </w:pPr>
  </w:style>
  <w:style w:type="paragraph" w:styleId="Kommentartext">
    <w:name w:val="annotation text"/>
    <w:basedOn w:val="Standard"/>
    <w:pPr>
      <w:keepNext/>
      <w:spacing w:line="7.20pt" w:lineRule="exact"/>
    </w:pPr>
    <w:rPr>
      <w:sz w:val="14"/>
    </w:rPr>
  </w:style>
  <w:style w:type="paragraph" w:customStyle="1" w:styleId="Artikel">
    <w:name w:val="Artikel"/>
    <w:basedOn w:val="Standard"/>
    <w:next w:val="Standard"/>
    <w:pPr>
      <w:keepNext/>
      <w:tabs>
        <w:tab w:val="clear" w:pos="742.70pt"/>
        <w:tab w:val="start" w:pos="68pt"/>
      </w:tabs>
      <w:spacing w:before="12pt" w:after="3pt"/>
      <w:ind w:start="34pt" w:hanging="34pt"/>
    </w:pPr>
  </w:style>
  <w:style w:type="paragraph" w:customStyle="1" w:styleId="Artikelaufgehoben">
    <w:name w:val="Artikel (aufgehoben)"/>
    <w:basedOn w:val="Artikel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e1">
    <w:name w:val="Liste 1"/>
    <w:basedOn w:val="Standard"/>
    <w:pPr>
      <w:ind w:start="17pt" w:hanging="17pt"/>
    </w:pPr>
  </w:style>
  <w:style w:type="paragraph" w:customStyle="1" w:styleId="Liste1mitUnterelementen">
    <w:name w:val="Liste 1 mit Unterelementen"/>
    <w:basedOn w:val="Liste1"/>
  </w:style>
  <w:style w:type="paragraph" w:customStyle="1" w:styleId="Liste1mitaufeinanderfolgendenAufhebungen">
    <w:name w:val="Liste 1 mit aufeinanderfolgenden Aufhebungen"/>
    <w:basedOn w:val="Liste1"/>
  </w:style>
  <w:style w:type="paragraph" w:customStyle="1" w:styleId="Liste21">
    <w:name w:val="Liste 21"/>
    <w:basedOn w:val="Liste1"/>
    <w:pPr>
      <w:ind w:start="34pt"/>
    </w:pPr>
  </w:style>
  <w:style w:type="paragraph" w:customStyle="1" w:styleId="Liste2mitaufeinanderfolgendenAufhebungen">
    <w:name w:val="Liste 2 mit aufeinanderfolgenden Aufhebungen"/>
    <w:basedOn w:val="Liste21"/>
  </w:style>
  <w:style w:type="paragraph" w:customStyle="1" w:styleId="Liste31">
    <w:name w:val="Liste 31"/>
    <w:basedOn w:val="Liste21"/>
    <w:pPr>
      <w:ind w:start="51.05pt"/>
    </w:pPr>
  </w:style>
  <w:style w:type="paragraph" w:styleId="Funotentext">
    <w:name w:val="footnote text"/>
    <w:basedOn w:val="Standard"/>
    <w:pPr>
      <w:spacing w:line="9.40pt" w:lineRule="exact"/>
      <w:ind w:start="10.50pt" w:hanging="10.50pt"/>
    </w:pPr>
    <w:rPr>
      <w:sz w:val="16"/>
    </w:rPr>
  </w:style>
  <w:style w:type="paragraph" w:styleId="berarbeitung">
    <w:name w:val="Revision"/>
    <w:hidden/>
    <w:uiPriority w:val="99"/>
    <w:semiHidden/>
    <w:rsid w:val="005704F3"/>
    <w:rPr>
      <w:rFonts w:ascii="Arial" w:hAnsi="Arial" w:cs="Mangal"/>
      <w:szCs w:val="18"/>
      <w:lang w:val="de-CH" w:eastAsia="zh-CN" w:bidi="hi-I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s://ar.clex.ch/data/146.1/de" TargetMode="External"/><Relationship Id="rId13" Type="http://purl.oclc.org/ooxml/officeDocument/relationships/header" Target="header3.xml"/><Relationship Id="rId3" Type="http://purl.oclc.org/ooxml/officeDocument/relationships/settings" Target="settings.xml"/><Relationship Id="rId7" Type="http://purl.oclc.org/ooxml/officeDocument/relationships/hyperlink" Target="https://ar.clex.ch/data/142.21/de" TargetMode="External"/><Relationship Id="rId12" Type="http://purl.oclc.org/ooxml/officeDocument/relationships/header" Target="header2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11" Type="http://purl.oclc.org/ooxml/officeDocument/relationships/header" Target="header1.xml"/><Relationship Id="rId5" Type="http://purl.oclc.org/ooxml/officeDocument/relationships/footnotes" Target="footnotes.xml"/><Relationship Id="rId15" Type="http://purl.oclc.org/ooxml/officeDocument/relationships/theme" Target="theme/theme1.xml"/><Relationship Id="rId10" Type="http://purl.oclc.org/ooxml/officeDocument/relationships/hyperlink" Target="https://ar.clex.ch/data/955.21/de" TargetMode="External"/><Relationship Id="rId4" Type="http://purl.oclc.org/ooxml/officeDocument/relationships/webSettings" Target="webSettings.xml"/><Relationship Id="rId9" Type="http://purl.oclc.org/ooxml/officeDocument/relationships/hyperlink" Target="https://ar.clex.ch/data/621.11/de" TargetMode="External"/><Relationship Id="rId14" Type="http://purl.oclc.org/ooxml/officeDocument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purl.oclc.org/ooxml/officeDocument/relationships/hyperlink" Target="https://ar.clex.ch/data/142.211/de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C47C8CB7-56D1-423D-9A63-149454E2DB1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4</Pages>
  <Words>623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Nobs Roger</cp:lastModifiedBy>
  <cp:revision>8</cp:revision>
  <dcterms:created xsi:type="dcterms:W3CDTF">2025-11-12T16:00:00Z</dcterms:created>
  <dcterms:modified xsi:type="dcterms:W3CDTF">2025-11-25T21:32:00Z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DocumentType">
    <vt:lpwstr>Synopse</vt:lpwstr>
  </property>
</Properties>
</file>