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E63B729" w14:textId="77777777" w:rsidR="00CF1532" w:rsidRDefault="00CF1532">
      <w:pPr>
        <w:rPr>
          <w:vanish/>
          <w:sz w:val="6"/>
        </w:rPr>
      </w:pPr>
    </w:p>
    <w:p w14:paraId="72765E15" w14:textId="2C361C10" w:rsidR="00CF1532" w:rsidRDefault="00D713AA">
      <w:r>
        <w:rPr>
          <w:b/>
          <w:bCs/>
          <w:sz w:val="22"/>
        </w:rPr>
        <w:t>Antwortformular</w:t>
      </w:r>
    </w:p>
    <w:p w14:paraId="420442B1" w14:textId="77777777" w:rsidR="00CF1532" w:rsidRDefault="00CF1532"/>
    <w:p w14:paraId="387F4BE7" w14:textId="63B5028C" w:rsidR="00CF1532" w:rsidRDefault="00B77A58">
      <w:r>
        <w:rPr>
          <w:b/>
          <w:bCs/>
          <w:sz w:val="22"/>
        </w:rPr>
        <w:t>G</w:t>
      </w:r>
      <w:r>
        <w:rPr>
          <w:b/>
          <w:bCs/>
          <w:sz w:val="22"/>
        </w:rPr>
        <w:t>esetz</w:t>
      </w:r>
      <w:r>
        <w:rPr>
          <w:b/>
          <w:bCs/>
          <w:sz w:val="22"/>
        </w:rPr>
        <w:t xml:space="preserve"> über die </w:t>
      </w:r>
      <w:r w:rsidR="00297B11">
        <w:rPr>
          <w:b/>
          <w:bCs/>
          <w:sz w:val="22"/>
        </w:rPr>
        <w:t>Ombudsstelle</w:t>
      </w:r>
    </w:p>
    <w:p w14:paraId="068FC153" w14:textId="77777777" w:rsidR="00CF1532" w:rsidRDefault="00CF1532"/>
    <w:p w14:paraId="53F84FEA" w14:textId="77777777" w:rsidR="00CF1532" w:rsidRDefault="00297B11">
      <w:pPr>
        <w:pStyle w:val="ZusammenfassungEinleitung"/>
      </w:pPr>
      <w:r>
        <w:t>Von diesem Geschäft tangierte Erlasse (bGS Nummern)</w:t>
      </w:r>
    </w:p>
    <w:p w14:paraId="781E97C6" w14:textId="77777777" w:rsidR="00CF1532" w:rsidRDefault="00297B11">
      <w:pPr>
        <w:pStyle w:val="ZusammenfassungneueErlasse"/>
      </w:pPr>
      <w:r>
        <w:t>Neu:</w:t>
      </w:r>
      <w:r>
        <w:tab/>
      </w:r>
      <w:r>
        <w:rPr>
          <w:rStyle w:val="ZusammenfassungHauptnderung"/>
        </w:rPr>
        <w:t>???.???</w:t>
      </w:r>
    </w:p>
    <w:p w14:paraId="48B189FB" w14:textId="77777777" w:rsidR="00CF1532" w:rsidRDefault="00297B11">
      <w:pPr>
        <w:pStyle w:val="ZusammenfassunggenderteErlasse"/>
      </w:pPr>
      <w:r>
        <w:t>Geändert:</w:t>
      </w:r>
      <w:r>
        <w:tab/>
        <w:t>–</w:t>
      </w:r>
    </w:p>
    <w:p w14:paraId="5E07302F" w14:textId="77777777" w:rsidR="00CF1532" w:rsidRDefault="00297B11">
      <w:pPr>
        <w:pStyle w:val="ZusammenfassungaufgehobeneErlasse"/>
        <w:rPr>
          <w:b/>
          <w:sz w:val="22"/>
        </w:rPr>
      </w:pPr>
      <w:r>
        <w:t>Aufgehoben:</w:t>
      </w:r>
      <w:r>
        <w:tab/>
        <w:t>–</w:t>
      </w:r>
    </w:p>
    <w:tbl>
      <w:tblPr>
        <w:tblW w:w="100.0%" w:type="pct"/>
        <w:tblLayout w:type="fixed"/>
        <w:tblCellMar>
          <w:top w:w="5.40pt" w:type="dxa"/>
          <w:bottom w:w="5.40pt" w:type="dxa"/>
        </w:tblCellMar>
        <w:tblLook w:firstRow="0" w:lastRow="0" w:firstColumn="0" w:lastColumn="0" w:noHBand="0" w:noVBand="0"/>
      </w:tblPr>
      <w:tblGrid>
        <w:gridCol w:w="7422"/>
        <w:gridCol w:w="7422"/>
      </w:tblGrid>
      <w:tr w:rsidR="00D713AA" w14:paraId="49DDCD4B" w14:textId="77777777" w:rsidTr="00D713AA">
        <w:trPr>
          <w:tblHeader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7D7C0DC" w14:textId="7EE2ACAB" w:rsidR="00D713AA" w:rsidRDefault="00D713AA">
            <w:pPr>
              <w:pStyle w:val="TableContents"/>
            </w:pPr>
            <w:r>
              <w:rPr>
                <w:b/>
                <w:sz w:val="22"/>
              </w:rPr>
              <w:t xml:space="preserve">Vernehmlassungsentwurf Regierungsrat, </w:t>
            </w:r>
            <w:r w:rsidR="00865217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 xml:space="preserve">. </w:t>
            </w:r>
            <w:r w:rsidR="00525850">
              <w:rPr>
                <w:b/>
                <w:sz w:val="22"/>
              </w:rPr>
              <w:t>Januar</w:t>
            </w:r>
            <w:r>
              <w:rPr>
                <w:b/>
                <w:sz w:val="22"/>
              </w:rPr>
              <w:t xml:space="preserve"> 202</w:t>
            </w:r>
            <w:r w:rsidR="006A4827">
              <w:rPr>
                <w:b/>
                <w:sz w:val="22"/>
              </w:rPr>
              <w:t>6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0E0E0"/>
            <w:vAlign w:val="center"/>
          </w:tcPr>
          <w:p w14:paraId="0B0E97AF" w14:textId="6A051671" w:rsidR="00D713AA" w:rsidRDefault="00297B11">
            <w:pPr>
              <w:pStyle w:val="TableContents"/>
            </w:pPr>
            <w:r>
              <w:rPr>
                <w:b/>
                <w:sz w:val="22"/>
              </w:rPr>
              <w:t>Vernehmlassungsantworten</w:t>
            </w:r>
          </w:p>
        </w:tc>
      </w:tr>
      <w:tr w:rsidR="00D713AA" w14:paraId="39FCC024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3B9C2C6E" w14:textId="77777777" w:rsidR="00D713AA" w:rsidRDefault="00D713AA">
            <w:pPr>
              <w:pStyle w:val="Abschnittstitel"/>
            </w:pPr>
            <w:r>
              <w:t>I.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71613A0C" w14:textId="77777777" w:rsidR="00D713AA" w:rsidRDefault="00D713AA"/>
        </w:tc>
      </w:tr>
      <w:tr w:rsidR="00D713AA" w14:paraId="4F88B2A6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07768C34" w14:textId="77777777" w:rsidR="00D713AA" w:rsidRDefault="00D713AA">
            <w:pPr>
              <w:pStyle w:val="Autor"/>
            </w:pPr>
            <w:r>
              <w:t>Der Kantonsrat von Appenzell Ausserrhoden,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9ED4BFA" w14:textId="77777777" w:rsidR="00D713AA" w:rsidRDefault="00D713AA"/>
        </w:tc>
      </w:tr>
      <w:tr w:rsidR="00D713AA" w14:paraId="39A777FE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0A74881" w14:textId="4110B90A" w:rsidR="00D713AA" w:rsidRDefault="00D713AA">
            <w:pPr>
              <w:pStyle w:val="TableContents"/>
            </w:pPr>
            <w:r>
              <w:t xml:space="preserve">gestützt auf Art. </w:t>
            </w:r>
            <w:r w:rsidR="00525850">
              <w:t>119</w:t>
            </w:r>
            <w:r>
              <w:t xml:space="preserve"> der Verfassung des Kantons Appenzell Ausserrhoden vom</w:t>
            </w:r>
            <w:r w:rsidR="000601A5">
              <w:t xml:space="preserve"> </w:t>
            </w:r>
            <w:r w:rsidR="00525850">
              <w:t>30. November 2025</w:t>
            </w:r>
            <w:r>
              <w:rPr>
                <w:rStyle w:val="Funotenzeichen"/>
              </w:rPr>
              <w:footnoteReference w:id="1"/>
            </w:r>
            <w:r>
              <w:rPr>
                <w:rStyle w:val="Funotenzeichen"/>
              </w:rPr>
              <w:t>)</w:t>
            </w:r>
            <w:r>
              <w:t>,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C956097" w14:textId="77777777" w:rsidR="00D713AA" w:rsidRDefault="00D713AA"/>
        </w:tc>
      </w:tr>
      <w:tr w:rsidR="00D713AA" w14:paraId="0CF489B4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3A8FA79F" w14:textId="77777777" w:rsidR="00D713AA" w:rsidRDefault="00D713AA">
            <w:pPr>
              <w:pStyle w:val="Aktion"/>
            </w:pPr>
            <w:r>
              <w:t>beschliesst: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41E6424" w14:textId="77777777" w:rsidR="00D713AA" w:rsidRDefault="00D713AA"/>
        </w:tc>
      </w:tr>
      <w:tr w:rsidR="00D713AA" w14:paraId="46B5532B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AD385D5" w14:textId="77777777" w:rsidR="00D713AA" w:rsidRDefault="00D713AA">
            <w:pPr>
              <w:pStyle w:val="TableContents"/>
            </w:pPr>
            <w:r>
              <w:rPr>
                <w:b/>
                <w:bCs/>
                <w:sz w:val="22"/>
              </w:rPr>
              <w:t>I. Allgemeines </w:t>
            </w:r>
            <w:r>
              <w:rPr>
                <w:b/>
                <w:bCs/>
                <w:color w:val="777777"/>
                <w:sz w:val="14"/>
              </w:rPr>
              <w:t>(1)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FC22940" w14:textId="77777777" w:rsidR="00D713AA" w:rsidRDefault="00D713AA"/>
        </w:tc>
      </w:tr>
      <w:tr w:rsidR="00D713AA" w14:paraId="43E20916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1C32FE33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1</w:t>
            </w:r>
            <w:r>
              <w:br/>
            </w:r>
            <w:r>
              <w:rPr>
                <w:sz w:val="14"/>
              </w:rPr>
              <w:t>Ombudsstelle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B4EAA24" w14:textId="77777777" w:rsidR="00D713AA" w:rsidRDefault="00D713AA"/>
        </w:tc>
      </w:tr>
      <w:tr w:rsidR="00D713AA" w14:paraId="67914EC6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3744DA78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ist eine verwaltungsunabhängige Anlaufstelle für Ratsuchende bei Konflikten mit Amtsstellen von Kanton und Gemeinden.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77DFE4A" w14:textId="77777777" w:rsidR="00D713AA" w:rsidRDefault="00D713AA"/>
        </w:tc>
      </w:tr>
      <w:tr w:rsidR="00D713AA" w14:paraId="7634782D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1390E009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2</w:t>
            </w:r>
            <w:r>
              <w:br/>
            </w:r>
            <w:r>
              <w:rPr>
                <w:sz w:val="14"/>
              </w:rPr>
              <w:t>Beratung und Hilfe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7EF664D" w14:textId="77777777" w:rsidR="00D713AA" w:rsidRDefault="00D713AA"/>
        </w:tc>
      </w:tr>
      <w:tr w:rsidR="00D713AA" w14:paraId="7E9DD5E9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499A1F7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bietet Privaten neutrale Beratung und Hilfe an. Diese umfassen: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44E775C5" w14:textId="77777777" w:rsidR="00D713AA" w:rsidRDefault="00D713AA"/>
        </w:tc>
      </w:tr>
      <w:tr w:rsidR="00D713AA" w14:paraId="421967E0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58C9DFC" w14:textId="77777777" w:rsidR="00D713AA" w:rsidRDefault="00D713AA">
            <w:pPr>
              <w:pStyle w:val="TableContents"/>
              <w:ind w:start="7.45pt" w:end="0.15pt" w:hanging="9.45pt"/>
            </w:pPr>
            <w:r>
              <w:t>a) das Erteilen von Auskünften und Ratschlägen;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E95C0FD" w14:textId="77777777" w:rsidR="00D713AA" w:rsidRDefault="00D713AA"/>
        </w:tc>
      </w:tr>
      <w:tr w:rsidR="00D713AA" w14:paraId="1172292F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00FDF4C" w14:textId="77777777" w:rsidR="00D713AA" w:rsidRDefault="00D713AA">
            <w:pPr>
              <w:pStyle w:val="TableContents"/>
              <w:ind w:start="7.45pt" w:end="0.15pt" w:hanging="9.45pt"/>
            </w:pPr>
            <w:r>
              <w:t>b) die Prüfung von Beanstandungen;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5BF642EB" w14:textId="77777777" w:rsidR="00D713AA" w:rsidRDefault="00D713AA"/>
        </w:tc>
      </w:tr>
      <w:tr w:rsidR="00D713AA" w14:paraId="2E02B362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3F5AC89" w14:textId="77777777" w:rsidR="00D713AA" w:rsidRDefault="00D713AA">
            <w:pPr>
              <w:pStyle w:val="TableContents"/>
              <w:ind w:start="7.45pt" w:end="0.15pt" w:hanging="9.45pt"/>
            </w:pPr>
            <w:r>
              <w:t>c) die Vermittlung zwischen Privaten und Amtsstellen.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32E8F4C3" w14:textId="77777777" w:rsidR="00D713AA" w:rsidRDefault="00D713AA"/>
        </w:tc>
      </w:tr>
      <w:tr w:rsidR="00D713AA" w14:paraId="2126708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348C3E4E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lastRenderedPageBreak/>
              <w:t>2</w:t>
            </w:r>
            <w:r>
              <w:t> Beratung und Hilfe sind für Ratsuchende kostenfrei.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33EF415" w14:textId="77777777" w:rsidR="00D713AA" w:rsidRDefault="00D713AA"/>
        </w:tc>
      </w:tr>
      <w:tr w:rsidR="00D713AA" w14:paraId="4AD9F52F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7594F72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3</w:t>
            </w:r>
            <w:r>
              <w:br/>
            </w:r>
            <w:r>
              <w:rPr>
                <w:sz w:val="14"/>
              </w:rPr>
              <w:t>Wirkungsbereich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8499B5C" w14:textId="77777777" w:rsidR="00D713AA" w:rsidRDefault="00D713AA"/>
        </w:tc>
      </w:tr>
      <w:tr w:rsidR="00D713AA" w14:paraId="211CDBCA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E865C37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ist zuständig für alle Aufgabenträger von Kanton und Gemeinden, einschliesslich der selbständigen Anstalten und Betriebe, Zweckverbände und privatrechtlichen Aufgabenträger.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38C86D1" w14:textId="77777777" w:rsidR="00D713AA" w:rsidRDefault="00D713AA"/>
        </w:tc>
      </w:tr>
      <w:tr w:rsidR="00D713AA" w14:paraId="71F6AAAC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10EA66D1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Dem Wirkungsbereich der Ombudsstelle sind entzogen: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B7711E8" w14:textId="77777777" w:rsidR="00D713AA" w:rsidRDefault="00D713AA"/>
        </w:tc>
      </w:tr>
      <w:tr w:rsidR="00D713AA" w14:paraId="0A23BF20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2697D0A2" w14:textId="77777777" w:rsidR="00D713AA" w:rsidRDefault="00D713AA">
            <w:pPr>
              <w:pStyle w:val="TableContents"/>
              <w:ind w:start="7.45pt" w:end="0.15pt" w:hanging="9.45pt"/>
            </w:pPr>
            <w:r>
              <w:t>a) Geschäfte des Kantonsrates und der Gemeindeparlamente;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92BA348" w14:textId="77777777" w:rsidR="00D713AA" w:rsidRDefault="00D713AA"/>
        </w:tc>
      </w:tr>
      <w:tr w:rsidR="00D713AA" w14:paraId="7A5DBC9D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598E2C3" w14:textId="77777777" w:rsidR="00D713AA" w:rsidRDefault="00D713AA">
            <w:pPr>
              <w:pStyle w:val="TableContents"/>
              <w:ind w:start="7.45pt" w:end="0.15pt" w:hanging="9.45pt"/>
            </w:pPr>
            <w:r>
              <w:t>b) Rechtsetzungsgeschäfte;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35402F27" w14:textId="77777777" w:rsidR="00D713AA" w:rsidRDefault="00D713AA"/>
        </w:tc>
      </w:tr>
      <w:tr w:rsidR="00D713AA" w14:paraId="08976DBC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B9661D6" w14:textId="77777777" w:rsidR="00D713AA" w:rsidRDefault="00D713AA">
            <w:pPr>
              <w:pStyle w:val="TableContents"/>
              <w:ind w:start="7.45pt" w:end="0.15pt" w:hanging="9.45pt"/>
            </w:pPr>
            <w:r>
              <w:t>c) Gerichts- und Schlichtungsverfahren;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3344DC0" w14:textId="77777777" w:rsidR="00D713AA" w:rsidRDefault="00D713AA"/>
        </w:tc>
      </w:tr>
      <w:tr w:rsidR="00D713AA" w14:paraId="0A23F70F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6D753F7" w14:textId="77777777" w:rsidR="00D713AA" w:rsidRDefault="00D713AA">
            <w:pPr>
              <w:pStyle w:val="TableContents"/>
              <w:ind w:start="7.45pt" w:end="0.15pt" w:hanging="9.45pt"/>
            </w:pPr>
            <w:r>
              <w:t>d) Rekurs- und Beschwerdeverfahren;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DBD16E3" w14:textId="77777777" w:rsidR="00D713AA" w:rsidRDefault="00D713AA"/>
        </w:tc>
      </w:tr>
      <w:tr w:rsidR="00D713AA" w14:paraId="144AE330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205C714" w14:textId="77777777" w:rsidR="00D713AA" w:rsidRDefault="00D713AA">
            <w:pPr>
              <w:pStyle w:val="TableContents"/>
              <w:ind w:start="7.45pt" w:end="0.15pt" w:hanging="9.45pt"/>
            </w:pPr>
            <w:r>
              <w:t>e) Wahlen und Abstimmungen.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2B35182" w14:textId="77777777" w:rsidR="00D713AA" w:rsidRDefault="00D713AA"/>
        </w:tc>
      </w:tr>
      <w:tr w:rsidR="00D713AA" w14:paraId="19C56ED3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B0F4CE4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Privatrechtliche Aufgabenträger unterstehen dem Wirkungsbereich nur, soweit sie in Erfüllung von kantonalen oder kommunalen Aufgaben hoheitlich handeln.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1505C78F" w14:textId="77777777" w:rsidR="00D713AA" w:rsidRDefault="00D713AA"/>
        </w:tc>
      </w:tr>
      <w:tr w:rsidR="00D713AA" w14:paraId="695C9A7E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220363F6" w14:textId="77777777" w:rsidR="00D713AA" w:rsidRDefault="00D713AA">
            <w:pPr>
              <w:pStyle w:val="TableContents"/>
            </w:pPr>
            <w:r>
              <w:rPr>
                <w:b/>
                <w:bCs/>
                <w:sz w:val="22"/>
              </w:rPr>
              <w:t>II. Verfahren </w:t>
            </w:r>
            <w:r>
              <w:rPr>
                <w:b/>
                <w:bCs/>
                <w:color w:val="777777"/>
                <w:sz w:val="14"/>
              </w:rPr>
              <w:t>(2)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71E8837" w14:textId="77777777" w:rsidR="00D713AA" w:rsidRDefault="00D713AA"/>
        </w:tc>
      </w:tr>
      <w:tr w:rsidR="00D713AA" w14:paraId="2A7DF6B6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2B6F13B4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4</w:t>
            </w:r>
            <w:r>
              <w:br/>
            </w:r>
            <w:r>
              <w:rPr>
                <w:sz w:val="14"/>
              </w:rPr>
              <w:t>Einleitung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F53BCC7" w14:textId="77777777" w:rsidR="00D713AA" w:rsidRDefault="00D713AA"/>
        </w:tc>
      </w:tr>
      <w:tr w:rsidR="00D713AA" w14:paraId="47519472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4F119DA5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Gesuche um Einleitung eines Ombudsverfahrens sind an keine Frist oder Form gebunden.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71D9B069" w14:textId="77777777" w:rsidR="00D713AA" w:rsidRDefault="00D713AA"/>
        </w:tc>
      </w:tr>
      <w:tr w:rsidR="00D713AA" w14:paraId="038D73A7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ADBA0A2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Die Ombudsstelle entscheidet, ob und wie sie in einer Angelegenheit tätig wird. Sie kann sich ausnahmsweise einer Angelegenheit von Amtes wegen annehmen.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6AE30A8" w14:textId="77777777" w:rsidR="00D713AA" w:rsidRDefault="00D713AA"/>
        </w:tc>
      </w:tr>
      <w:tr w:rsidR="00D713AA" w14:paraId="0801E6E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1636BBAB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Einleitung eines Ombudsverfahrens hat keine aufschiebende Wirkung und unterbricht keine Fristen.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4CCA4D3C" w14:textId="77777777" w:rsidR="00D713AA" w:rsidRDefault="00D713AA"/>
        </w:tc>
      </w:tr>
      <w:tr w:rsidR="00D713AA" w14:paraId="433B155D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3E978D62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lastRenderedPageBreak/>
              <w:t>Art.  5</w:t>
            </w:r>
            <w:r>
              <w:br/>
            </w:r>
            <w:r>
              <w:rPr>
                <w:sz w:val="14"/>
              </w:rPr>
              <w:t>Erhebung des Sachverhalts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717B301" w14:textId="77777777" w:rsidR="00D713AA" w:rsidRDefault="00D713AA"/>
        </w:tc>
      </w:tr>
      <w:tr w:rsidR="00D713AA" w14:paraId="08AA1CE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146C60B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Zur Erhebung des Sachverhalts kann die Ombudsstelle: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132835F1" w14:textId="77777777" w:rsidR="00D713AA" w:rsidRDefault="00D713AA"/>
        </w:tc>
      </w:tr>
      <w:tr w:rsidR="00D713AA" w14:paraId="0829F68C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408015AA" w14:textId="77777777" w:rsidR="00D713AA" w:rsidRDefault="00D713AA">
            <w:pPr>
              <w:pStyle w:val="TableContents"/>
              <w:ind w:start="7.45pt" w:end="0.15pt" w:hanging="9.45pt"/>
            </w:pPr>
            <w:r>
              <w:t>a) schriftliche oder mündliche Auskünfte von Amtsstellen einholen;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CCBF95C" w14:textId="77777777" w:rsidR="00D713AA" w:rsidRDefault="00D713AA"/>
        </w:tc>
      </w:tr>
      <w:tr w:rsidR="00D713AA" w14:paraId="059A7E5A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401EDAE" w14:textId="77777777" w:rsidR="00D713AA" w:rsidRDefault="00D713AA">
            <w:pPr>
              <w:pStyle w:val="TableContents"/>
              <w:ind w:start="7.45pt" w:end="0.15pt" w:hanging="9.45pt"/>
            </w:pPr>
            <w:r>
              <w:t>b) uneingeschränkte Einsicht in relevante Akten nehmen und deren Herausgabe verlangen;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390811AA" w14:textId="77777777" w:rsidR="00D713AA" w:rsidRDefault="00D713AA"/>
        </w:tc>
      </w:tr>
      <w:tr w:rsidR="00D713AA" w14:paraId="4DFB9D8A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4FFB1148" w14:textId="77777777" w:rsidR="00D713AA" w:rsidRDefault="00D713AA">
            <w:pPr>
              <w:pStyle w:val="TableContents"/>
              <w:ind w:start="7.45pt" w:end="0.15pt" w:hanging="9.45pt"/>
            </w:pPr>
            <w:r>
              <w:t>c) Besichtigungen vor Ort durchführen;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DD2E081" w14:textId="77777777" w:rsidR="00D713AA" w:rsidRDefault="00D713AA"/>
        </w:tc>
      </w:tr>
      <w:tr w:rsidR="00D713AA" w14:paraId="35511EEA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F77426D" w14:textId="77777777" w:rsidR="00D713AA" w:rsidRDefault="00D713AA">
            <w:pPr>
              <w:pStyle w:val="TableContents"/>
              <w:ind w:start="7.45pt" w:end="0.15pt" w:hanging="9.45pt"/>
            </w:pPr>
            <w:r>
              <w:t>d) Sachverständige beiziehen, wenn besondere Kenntnisse erforderlich sind.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D3C1727" w14:textId="77777777" w:rsidR="00D713AA" w:rsidRDefault="00D713AA"/>
        </w:tc>
      </w:tr>
      <w:tr w:rsidR="00D713AA" w14:paraId="4BBD6CED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3B52D90E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6</w:t>
            </w:r>
            <w:r>
              <w:br/>
            </w:r>
            <w:r>
              <w:rPr>
                <w:sz w:val="14"/>
              </w:rPr>
              <w:t>Prüfung und Vermittlung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45DC0E1" w14:textId="77777777" w:rsidR="00D713AA" w:rsidRDefault="00D713AA"/>
        </w:tc>
      </w:tr>
      <w:tr w:rsidR="00D713AA" w14:paraId="7189863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E84D82C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prüft, ob das beanstandete Verhalten einer Amtsstelle rechtmässig und angemessen ist und anerkannten Grundsätzen guter Verwaltung entspricht.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1965CD81" w14:textId="77777777" w:rsidR="00D713AA" w:rsidRDefault="00D713AA"/>
        </w:tc>
      </w:tr>
      <w:tr w:rsidR="00D713AA" w14:paraId="401E009A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32123827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Sie gibt der betroffenen Amtsstelle Gelegenheit zur Stellungnahme.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000F75B" w14:textId="77777777" w:rsidR="00D713AA" w:rsidRDefault="00D713AA"/>
        </w:tc>
      </w:tr>
      <w:tr w:rsidR="00D713AA" w14:paraId="367322ED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48700903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Sie kann die Angelegenheit mit der betroffenen Amtsstelle besprechen, unter den Beteiligten eine Vermittlung durchführen und gegebenenfalls Dritte beiladen.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0D169587" w14:textId="77777777" w:rsidR="00D713AA" w:rsidRDefault="00D713AA"/>
        </w:tc>
      </w:tr>
      <w:tr w:rsidR="00D713AA" w14:paraId="3F5C61DA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7190EFB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7</w:t>
            </w:r>
            <w:r>
              <w:br/>
            </w:r>
            <w:r>
              <w:rPr>
                <w:sz w:val="14"/>
              </w:rPr>
              <w:t>Erledigung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76095B7" w14:textId="77777777" w:rsidR="00D713AA" w:rsidRDefault="00D713AA"/>
        </w:tc>
      </w:tr>
      <w:tr w:rsidR="00D713AA" w14:paraId="67B93CB4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BC3043E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teilt den Beteiligten das Ergebnis und den Abschluss des Verfahrens mit.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53867166" w14:textId="77777777" w:rsidR="00D713AA" w:rsidRDefault="00D713AA"/>
        </w:tc>
      </w:tr>
      <w:tr w:rsidR="00D713AA" w14:paraId="255967C1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C7AF3FA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Sie kann Empfehlungen zuhanden von Amtsstellen geben und übergeordnete Stellen über das Verfahren orientieren.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73EEA5BE" w14:textId="77777777" w:rsidR="00D713AA" w:rsidRDefault="00D713AA"/>
        </w:tc>
      </w:tr>
      <w:tr w:rsidR="00D713AA" w14:paraId="1833FB06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8ADDFC3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Ombudsstelle hat kein Weisungsrecht. Sie kann keine verbindlichen Anordnungen treffen.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16E1BFA" w14:textId="77777777" w:rsidR="00D713AA" w:rsidRDefault="00D713AA"/>
        </w:tc>
      </w:tr>
      <w:tr w:rsidR="00D713AA" w14:paraId="5403C33B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19B7E909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lastRenderedPageBreak/>
              <w:t>4</w:t>
            </w:r>
            <w:r>
              <w:t> Gegen die Art und Weise der Verfahrenserledigung durch die Ombudsstelle steht kein Rechtsmittel zur Verfügung.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3F73AEC0" w14:textId="77777777" w:rsidR="00D713AA" w:rsidRDefault="00D713AA"/>
        </w:tc>
      </w:tr>
      <w:tr w:rsidR="00D713AA" w14:paraId="10D75293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66CD6438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8</w:t>
            </w:r>
            <w:r>
              <w:br/>
            </w:r>
            <w:r>
              <w:rPr>
                <w:sz w:val="14"/>
              </w:rPr>
              <w:t>Mitwirkungspflichten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08A9DDE" w14:textId="77777777" w:rsidR="00D713AA" w:rsidRDefault="00D713AA"/>
        </w:tc>
      </w:tr>
      <w:tr w:rsidR="00D713AA" w14:paraId="40DB3467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E5A6DE3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Beteiligten wirken bei der Erhebung des Sachverhalts und bei Vermittlungsversuchen der Ombudsstelle mit.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E36A169" w14:textId="77777777" w:rsidR="00D713AA" w:rsidRDefault="00D713AA"/>
        </w:tc>
      </w:tr>
      <w:tr w:rsidR="00D713AA" w14:paraId="44D5B93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338DDBD7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Behördenmitglieder, Verwaltungsangestellte und andere Amtsträger sind gegenüber der Ombudsstelle vom Amtsgeheimnis entbunden.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4379ED8" w14:textId="77777777" w:rsidR="00D713AA" w:rsidRDefault="00D713AA"/>
        </w:tc>
      </w:tr>
      <w:tr w:rsidR="00D713AA" w14:paraId="6A5A5BA9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41DAAA6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Aufgabenträger von Kanton und Gemeinden unterstützen die Ombudsstelle bei der Erfüllung ihrer Aufgaben.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12883EF" w14:textId="77777777" w:rsidR="00D713AA" w:rsidRDefault="00D713AA"/>
        </w:tc>
      </w:tr>
      <w:tr w:rsidR="00D713AA" w14:paraId="3AB33D87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2742569" w14:textId="77777777" w:rsidR="00D713AA" w:rsidRDefault="00D713AA">
            <w:pPr>
              <w:pStyle w:val="TableContents"/>
            </w:pPr>
            <w:r>
              <w:rPr>
                <w:b/>
                <w:bCs/>
                <w:sz w:val="22"/>
              </w:rPr>
              <w:t>III. Institutionelles </w:t>
            </w:r>
            <w:r>
              <w:rPr>
                <w:b/>
                <w:bCs/>
                <w:color w:val="777777"/>
                <w:sz w:val="14"/>
              </w:rPr>
              <w:t>(3)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CCC0A47" w14:textId="77777777" w:rsidR="00D713AA" w:rsidRDefault="00D713AA"/>
        </w:tc>
      </w:tr>
      <w:tr w:rsidR="00D713AA" w14:paraId="6ED39C97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E75C72F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9</w:t>
            </w:r>
            <w:r>
              <w:br/>
            </w:r>
            <w:r>
              <w:rPr>
                <w:sz w:val="14"/>
              </w:rPr>
              <w:t>Wahl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17673E74" w14:textId="77777777" w:rsidR="00D713AA" w:rsidRDefault="00D713AA"/>
        </w:tc>
      </w:tr>
      <w:tr w:rsidR="00D713AA" w14:paraId="15E44661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E52C295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Kantonsrat wählt mindestens eine Ombudsperson und eine Stellvertretung.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7FFA832" w14:textId="77777777" w:rsidR="00D713AA" w:rsidRDefault="00D713AA"/>
        </w:tc>
      </w:tr>
      <w:tr w:rsidR="00D713AA" w14:paraId="202A3E44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4B2340D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Die Wahl erfolgt auf eine Amtsdauer von vier Jahren; Wiederwahl ist zulässig.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7383BE58" w14:textId="77777777" w:rsidR="00D713AA" w:rsidRDefault="00D713AA"/>
        </w:tc>
      </w:tr>
      <w:tr w:rsidR="00D713AA" w14:paraId="293D68AD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0D831D7D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10</w:t>
            </w:r>
            <w:r>
              <w:br/>
            </w:r>
            <w:r>
              <w:rPr>
                <w:sz w:val="14"/>
              </w:rPr>
              <w:t>Unvereinbarkeit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A0EEA3F" w14:textId="77777777" w:rsidR="00D713AA" w:rsidRDefault="00D713AA"/>
        </w:tc>
      </w:tr>
      <w:tr w:rsidR="00D713AA" w14:paraId="01D89530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5F96622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Ombudspersonen dürfen keine Tätigkeit ausüben, welche die Unabhängigkeit der Amtsführung beeinträchtigen könnte oder in anderer Weise mit den Aufgaben der Ombudsstelle unvereinbar ist.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4BCFE6DD" w14:textId="77777777" w:rsidR="00D713AA" w:rsidRDefault="00D713AA"/>
        </w:tc>
      </w:tr>
      <w:tr w:rsidR="00D713AA" w14:paraId="4BCF203C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6B04A006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11</w:t>
            </w:r>
            <w:r>
              <w:br/>
            </w:r>
            <w:r>
              <w:rPr>
                <w:sz w:val="14"/>
              </w:rPr>
              <w:t>Amtsgeheimnis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B7BEA10" w14:textId="77777777" w:rsidR="00D713AA" w:rsidRDefault="00D713AA"/>
        </w:tc>
      </w:tr>
      <w:tr w:rsidR="00D713AA" w14:paraId="0C1BE29E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EF3E8C1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Ombudspersonen und ihre Mitarbeitenden unterstehen dem Amtsgeheimnis nach Art. 47 des Regierungs- und Verwaltungsorganisationsgesetzes</w:t>
            </w:r>
            <w:r>
              <w:rPr>
                <w:rStyle w:val="Funotenzeichen"/>
              </w:rPr>
              <w:footnoteReference w:id="2"/>
            </w:r>
            <w:r>
              <w:rPr>
                <w:rStyle w:val="Funotenzeichen"/>
              </w:rPr>
              <w:t>)</w:t>
            </w:r>
            <w:r>
              <w:t>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E35416D" w14:textId="77777777" w:rsidR="00D713AA" w:rsidRDefault="00D713AA"/>
        </w:tc>
      </w:tr>
      <w:tr w:rsidR="00D713AA" w14:paraId="258C9B90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16941052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lastRenderedPageBreak/>
              <w:t>Art.  12</w:t>
            </w:r>
            <w:r>
              <w:br/>
            </w:r>
            <w:r>
              <w:rPr>
                <w:sz w:val="14"/>
              </w:rPr>
              <w:t>Stellung und Berichterstattung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942DFB2" w14:textId="77777777" w:rsidR="00D713AA" w:rsidRDefault="00D713AA"/>
        </w:tc>
      </w:tr>
      <w:tr w:rsidR="00D713AA" w14:paraId="196E3805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F396FCE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Ombudsstelle untersteht der parlamentarischen Aufsicht des Kantonsrates.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598333FC" w14:textId="77777777" w:rsidR="00D713AA" w:rsidRDefault="00D713AA"/>
        </w:tc>
      </w:tr>
      <w:tr w:rsidR="00D713AA" w14:paraId="02604334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0F1994F6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Sie erstattet dem Kantonsrat jährlich Bericht über ihre Tätigkeit.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63745EA8" w14:textId="77777777" w:rsidR="00D713AA" w:rsidRDefault="00D713AA"/>
        </w:tc>
      </w:tr>
      <w:tr w:rsidR="00D713AA" w14:paraId="70F3D603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67D0AE62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Sie kann die Öffentlichkeit in geeigneter Weise über ihre Tätigkeit informieren.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4BBEC762" w14:textId="77777777" w:rsidR="00D713AA" w:rsidRDefault="00D713AA"/>
        </w:tc>
      </w:tr>
      <w:tr w:rsidR="00D713AA" w14:paraId="49F64A97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A337660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13</w:t>
            </w:r>
            <w:r>
              <w:br/>
            </w:r>
            <w:r>
              <w:rPr>
                <w:sz w:val="14"/>
              </w:rPr>
              <w:t>Entschädigung und Organisation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3511DF0" w14:textId="77777777" w:rsidR="00D713AA" w:rsidRDefault="00D713AA"/>
        </w:tc>
      </w:tr>
      <w:tr w:rsidR="00D713AA" w14:paraId="379F5167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A4831E4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Kantonsrat regelt die Entschädigung der Ombudspersonen. Er kann sie ganz oder teilweise dem kantonalen Personalrecht unterstellen.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1EAEEBF8" w14:textId="77777777" w:rsidR="00D713AA" w:rsidRDefault="00D713AA"/>
        </w:tc>
      </w:tr>
      <w:tr w:rsidR="00D713AA" w14:paraId="58A04058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5CF7E31C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Er kann Bestimmungen zur Organisation der Ombudsstelle erlassen.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CD092E6" w14:textId="77777777" w:rsidR="00D713AA" w:rsidRDefault="00D713AA"/>
        </w:tc>
      </w:tr>
      <w:tr w:rsidR="00D713AA" w14:paraId="3E54DB06" w14:textId="77777777" w:rsidTr="00D713AA">
        <w:trPr>
          <w:cantSplit/>
        </w:trPr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77458DA4" w14:textId="77777777" w:rsidR="00D713AA" w:rsidRDefault="00D713AA">
            <w:pPr>
              <w:pStyle w:val="TableContents"/>
            </w:pPr>
            <w:r>
              <w:rPr>
                <w:b/>
                <w:bCs/>
              </w:rPr>
              <w:t>Art.  14</w:t>
            </w:r>
            <w:r>
              <w:br/>
            </w:r>
            <w:r>
              <w:rPr>
                <w:sz w:val="14"/>
              </w:rPr>
              <w:t>Finanzierung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257D360" w14:textId="77777777" w:rsidR="00D713AA" w:rsidRDefault="00D713AA"/>
        </w:tc>
      </w:tr>
      <w:tr w:rsidR="00D713AA" w14:paraId="24BF414C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733A773D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und die Gemeinden tragen je die Hälfte der Kosten der Ombudsstelle.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24FD4EA8" w14:textId="77777777" w:rsidR="00D713AA" w:rsidRDefault="00D713AA"/>
        </w:tc>
      </w:tr>
      <w:tr w:rsidR="00D713AA" w14:paraId="0B1741F8" w14:textId="77777777" w:rsidTr="00D713AA">
        <w:trPr>
          <w:cantSplit/>
        </w:trPr>
        <w:tc>
          <w:tcPr>
            <w:tcW w:w="371.10pt" w:type="dxa"/>
            <w:tcBorders>
              <w:start w:val="single" w:sz="4" w:space="0" w:color="000000"/>
            </w:tcBorders>
          </w:tcPr>
          <w:p w14:paraId="17CDE334" w14:textId="77777777" w:rsidR="00D713AA" w:rsidRDefault="00D713AA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Die Gemeinden beteiligen sich nach Massgabe ihrer Einwohnerzahlen an den Kosten.</w:t>
            </w:r>
          </w:p>
        </w:tc>
        <w:tc>
          <w:tcPr>
            <w:tcW w:w="371.10pt" w:type="dxa"/>
            <w:tcBorders>
              <w:start w:val="single" w:sz="4" w:space="0" w:color="000000"/>
              <w:end w:val="single" w:sz="4" w:space="0" w:color="000000"/>
            </w:tcBorders>
          </w:tcPr>
          <w:p w14:paraId="5091F956" w14:textId="77777777" w:rsidR="00D713AA" w:rsidRDefault="00D713AA"/>
        </w:tc>
      </w:tr>
      <w:tr w:rsidR="00D713AA" w14:paraId="45BCFF12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43FF112F" w14:textId="77777777" w:rsidR="00D713AA" w:rsidRDefault="00D713AA">
            <w:pPr>
              <w:pStyle w:val="Abschnittstitel"/>
            </w:pPr>
            <w:r>
              <w:t>II.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2B430900" w14:textId="77777777" w:rsidR="00D713AA" w:rsidRDefault="00D713AA"/>
        </w:tc>
      </w:tr>
      <w:tr w:rsidR="00D713AA" w14:paraId="1B2128A5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47E01D0B" w14:textId="77777777" w:rsidR="00D713AA" w:rsidRDefault="00D713AA">
            <w:pPr>
              <w:pStyle w:val="EmptySectionRemark"/>
            </w:pPr>
            <w:r>
              <w:t>Keine Fremdänderungen.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BC6F7E6" w14:textId="77777777" w:rsidR="00D713AA" w:rsidRDefault="00D713AA"/>
        </w:tc>
      </w:tr>
      <w:tr w:rsidR="00D713AA" w14:paraId="0C493A45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26FAC9F5" w14:textId="77777777" w:rsidR="00D713AA" w:rsidRDefault="00D713AA">
            <w:pPr>
              <w:pStyle w:val="Abschnittstitel"/>
            </w:pPr>
            <w:r>
              <w:t>III.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7E227E03" w14:textId="77777777" w:rsidR="00D713AA" w:rsidRDefault="00D713AA"/>
        </w:tc>
      </w:tr>
      <w:tr w:rsidR="00D713AA" w14:paraId="4B39F177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</w:tcPr>
          <w:p w14:paraId="5A274857" w14:textId="77777777" w:rsidR="00D713AA" w:rsidRDefault="00D713AA">
            <w:pPr>
              <w:pStyle w:val="EmptySectionRemark"/>
            </w:pPr>
            <w:r>
              <w:t>Keine Fremdaufhebungen.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00F04DA" w14:textId="77777777" w:rsidR="00D713AA" w:rsidRDefault="00D713AA"/>
        </w:tc>
      </w:tr>
      <w:tr w:rsidR="00D713AA" w14:paraId="3E0645C7" w14:textId="77777777" w:rsidTr="00D713AA">
        <w:tc>
          <w:tcPr>
            <w:tcW w:w="371.1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2C23F2FC" w14:textId="77777777" w:rsidR="00D713AA" w:rsidRDefault="00D713AA">
            <w:pPr>
              <w:pStyle w:val="Abschnittstitel"/>
            </w:pPr>
            <w:r>
              <w:t>IV.</w:t>
            </w:r>
          </w:p>
        </w:tc>
        <w:tc>
          <w:tcPr>
            <w:tcW w:w="371.1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7A2D7C4B" w14:textId="77777777" w:rsidR="00D713AA" w:rsidRDefault="00D713AA"/>
        </w:tc>
      </w:tr>
      <w:tr w:rsidR="00D713AA" w14:paraId="3CB2F1E9" w14:textId="77777777" w:rsidTr="00D713AA">
        <w:tc>
          <w:tcPr>
            <w:tcW w:w="371.10pt" w:type="dxa"/>
            <w:tcBorders>
              <w:start w:val="single" w:sz="4" w:space="0" w:color="000000"/>
              <w:bottom w:val="single" w:sz="4" w:space="0" w:color="000000"/>
            </w:tcBorders>
          </w:tcPr>
          <w:p w14:paraId="1D569A45" w14:textId="77777777" w:rsidR="00D713AA" w:rsidRDefault="00D713AA">
            <w:pPr>
              <w:pStyle w:val="TableContents"/>
            </w:pPr>
            <w:r>
              <w:t>Dieses Gesetz untersteht dem fakultativen Referendum.</w:t>
            </w:r>
            <w:r>
              <w:br/>
              <w:t>Der Regierungsrat bestimmt das Inkrafttreten.</w:t>
            </w:r>
          </w:p>
        </w:tc>
        <w:tc>
          <w:tcPr>
            <w:tcW w:w="371.1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E68FCB2" w14:textId="77777777" w:rsidR="00D713AA" w:rsidRDefault="00D713AA"/>
        </w:tc>
      </w:tr>
    </w:tbl>
    <w:p w14:paraId="37F748CB" w14:textId="77777777" w:rsidR="00CF1532" w:rsidRDefault="00CF1532"/>
    <w:sectPr w:rsidR="00CF1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1.90pt" w:h="595.30pt" w:orient="landscape"/>
      <w:pgMar w:top="56.65pt" w:right="42.50pt" w:bottom="42.50pt" w:left="56.70pt" w:header="42.5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533AB6F" w14:textId="77777777" w:rsidR="00297B11" w:rsidRDefault="00297B11">
      <w:r>
        <w:separator/>
      </w:r>
    </w:p>
  </w:endnote>
  <w:endnote w:type="continuationSeparator" w:id="0">
    <w:p w14:paraId="1B5982DD" w14:textId="77777777" w:rsidR="00297B11" w:rsidRDefault="002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C6B59FD" w14:textId="77777777" w:rsidR="00CF1532" w:rsidRDefault="00CF1532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F78B92E" w14:textId="77777777" w:rsidR="00CF1532" w:rsidRDefault="00CF1532">
    <w:pPr>
      <w:pStyle w:val="Fuzeile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6BB32D0" w14:textId="77777777" w:rsidR="00CF1532" w:rsidRDefault="00CF1532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DC817EB" w14:textId="77777777" w:rsidR="00CF1532" w:rsidRDefault="00297B11">
      <w:r>
        <w:separator/>
      </w:r>
    </w:p>
  </w:footnote>
  <w:footnote w:type="continuationSeparator" w:id="0">
    <w:p w14:paraId="5FA52221" w14:textId="77777777" w:rsidR="00CF1532" w:rsidRDefault="00297B11">
      <w:r>
        <w:continuationSeparator/>
      </w:r>
    </w:p>
  </w:footnote>
  <w:footnote w:id="1">
    <w:p w14:paraId="5DF9E972" w14:textId="77777777" w:rsidR="00D713AA" w:rsidRDefault="00D713AA">
      <w:pPr>
        <w:pStyle w:val="Funotentext"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tab/>
        <w:t>Kantonsverfassung (KV; bGS ...)</w:t>
      </w:r>
    </w:p>
  </w:footnote>
  <w:footnote w:id="2">
    <w:p w14:paraId="577DABDB" w14:textId="77777777" w:rsidR="00D713AA" w:rsidRDefault="00D713AA">
      <w:pPr>
        <w:pStyle w:val="Funotentext"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tab/>
        <w:t xml:space="preserve">Organisationsgesetz (OrG; bGS </w:t>
      </w:r>
      <w:hyperlink r:id="rId1" w:history="1">
        <w:r>
          <w:rPr>
            <w:rStyle w:val="Hyperlink"/>
          </w:rPr>
          <w:t>142.12</w:t>
        </w:r>
      </w:hyperlink>
      <w:r>
        <w:t>)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5C815FC" w14:textId="77777777" w:rsidR="00CF1532" w:rsidRDefault="00297B11">
    <w:pPr>
      <w:pStyle w:val="Kopfzeile"/>
      <w:spacing w:line="12pt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78003577" w14:textId="77777777" w:rsidR="00CF1532" w:rsidRDefault="00CF1532">
    <w:pPr>
      <w:pStyle w:val="Kopfzeile"/>
      <w:spacing w:line="12pt" w:lineRule="exact"/>
      <w:jc w:val="center"/>
      <w:rPr>
        <w:sz w:val="22"/>
      </w:rPr>
    </w:pPr>
  </w:p>
  <w:p w14:paraId="3B101D07" w14:textId="77777777" w:rsidR="00CF1532" w:rsidRDefault="00CF1532">
    <w:pPr>
      <w:pStyle w:val="Kopfzeile"/>
      <w:spacing w:line="12pt" w:lineRule="exact"/>
      <w:jc w:val="center"/>
      <w:rPr>
        <w:sz w:val="22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60E6346" w14:textId="77777777" w:rsidR="00CF1532" w:rsidRDefault="00297B11">
    <w:pPr>
      <w:pStyle w:val="Kopfzeile"/>
      <w:spacing w:line="12pt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51035FA7" w14:textId="77777777" w:rsidR="00CF1532" w:rsidRDefault="00CF1532">
    <w:pPr>
      <w:pStyle w:val="Kopfzeile"/>
      <w:spacing w:line="12pt" w:lineRule="exact"/>
      <w:jc w:val="center"/>
      <w:rPr>
        <w:sz w:val="22"/>
      </w:rPr>
    </w:pPr>
  </w:p>
  <w:p w14:paraId="097960BD" w14:textId="77777777" w:rsidR="00CF1532" w:rsidRDefault="00CF1532">
    <w:pPr>
      <w:pStyle w:val="Kopfzeile"/>
      <w:spacing w:line="12pt" w:lineRule="exact"/>
      <w:jc w:val="center"/>
      <w:rPr>
        <w:sz w:val="2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A1759F8" w14:textId="77777777" w:rsidR="00CF1532" w:rsidRDefault="00CF1532">
    <w:pPr>
      <w:pStyle w:val="Kopfzeile"/>
      <w:spacing w:line="12pt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Standard"/>
  <w:evenAndOddHeader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32"/>
    <w:rsid w:val="000601A5"/>
    <w:rsid w:val="000D06B3"/>
    <w:rsid w:val="00297B11"/>
    <w:rsid w:val="00333C24"/>
    <w:rsid w:val="00350ADF"/>
    <w:rsid w:val="00525850"/>
    <w:rsid w:val="006A4827"/>
    <w:rsid w:val="00865217"/>
    <w:rsid w:val="0087565E"/>
    <w:rsid w:val="00B77A58"/>
    <w:rsid w:val="00CB3539"/>
    <w:rsid w:val="00CD76C3"/>
    <w:rsid w:val="00CF1532"/>
    <w:rsid w:val="00D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4:docId w14:val="73ED98BD"/>
  <w15:docId w15:val="{12486A2F-F175-4DAC-8869-1A344BC1C99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Lines/>
      <w:widowControl w:val="0"/>
      <w:tabs>
        <w:tab w:val="end" w:pos="742.70pt"/>
      </w:tabs>
    </w:pPr>
    <w:rPr>
      <w:rFonts w:ascii="Arial" w:hAnsi="Arial"/>
      <w:lang w:val="de-CH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customStyle="1" w:styleId="Absatz-Standardschriftart1">
    <w:name w:val="Absatz-Standardschriftart1"/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Arial" w:hAnsi="Arial"/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ZusammenfassungEinleitung">
    <w:name w:val="Zusammenfassung Einleitung"/>
    <w:basedOn w:val="Standard"/>
    <w:pPr>
      <w:keepNext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spacing w:after="4.25pt"/>
      <w:ind w:start="62.95pt" w:hanging="62.95pt"/>
    </w:pPr>
    <w:rPr>
      <w:position w:val="2"/>
    </w:rPr>
  </w:style>
  <w:style w:type="paragraph" w:customStyle="1" w:styleId="ZusammenfassungneueErlasse">
    <w:name w:val="Zusammenfassung neue Erlasse"/>
    <w:basedOn w:val="Standard"/>
    <w:pPr>
      <w:keepNext/>
      <w:tabs>
        <w:tab w:val="clear" w:pos="742.70pt"/>
        <w:tab w:val="start" w:pos="125.90pt"/>
      </w:tabs>
      <w:spacing w:line="11.60pt" w:lineRule="exact"/>
      <w:ind w:start="62.95pt" w:hanging="62.95pt"/>
    </w:pPr>
    <w:rPr>
      <w:position w:val="2"/>
    </w:r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ZusammenfassungneueErlasse"/>
    <w:pPr>
      <w:pBdr>
        <w:top w:val="none" w:sz="0" w:space="0" w:color="000000"/>
        <w:left w:val="none" w:sz="0" w:space="0" w:color="000000"/>
        <w:bottom w:val="single" w:sz="4" w:space="7" w:color="000000"/>
        <w:right w:val="none" w:sz="0" w:space="0" w:color="000000"/>
      </w:pBdr>
      <w:spacing w:after="6.50pt"/>
    </w:pPr>
  </w:style>
  <w:style w:type="paragraph" w:customStyle="1" w:styleId="Autor">
    <w:name w:val="Autor"/>
    <w:basedOn w:val="Standard"/>
    <w:rPr>
      <w:i/>
      <w:iCs/>
    </w:rPr>
  </w:style>
  <w:style w:type="paragraph" w:customStyle="1" w:styleId="Aktion">
    <w:name w:val="Aktion"/>
    <w:basedOn w:val="Standard"/>
    <w:rPr>
      <w:i/>
      <w:iCs/>
    </w:rPr>
  </w:style>
  <w:style w:type="paragraph" w:customStyle="1" w:styleId="EmptySectionRemark">
    <w:name w:val="Empty_Section_Remark"/>
    <w:basedOn w:val="Standard"/>
    <w:rPr>
      <w:i/>
      <w:iCs/>
    </w:rPr>
  </w:style>
  <w:style w:type="paragraph" w:customStyle="1" w:styleId="StandardvorAufzhlung">
    <w:name w:val="Standard vor Aufzählung"/>
    <w:basedOn w:val="Standard"/>
  </w:style>
  <w:style w:type="paragraph" w:customStyle="1" w:styleId="StandardvorTabelle">
    <w:name w:val="Standard vor Tabelle"/>
    <w:basedOn w:val="Standard"/>
  </w:style>
  <w:style w:type="paragraph" w:customStyle="1" w:styleId="StandardvorBild">
    <w:name w:val="Standard vor Bild"/>
    <w:basedOn w:val="Standard"/>
  </w:style>
  <w:style w:type="paragraph" w:customStyle="1" w:styleId="StandardBild">
    <w:name w:val="Standard Bild"/>
    <w:basedOn w:val="Standard"/>
    <w:pPr>
      <w:jc w:val="center"/>
    </w:pPr>
  </w:style>
  <w:style w:type="paragraph" w:customStyle="1" w:styleId="HeaderandFooter">
    <w:name w:val="Header and Footer"/>
    <w:basedOn w:val="Standard"/>
    <w:pPr>
      <w:suppressLineNumbers/>
      <w:tabs>
        <w:tab w:val="clear" w:pos="742.70pt"/>
        <w:tab w:val="center" w:pos="249.30pt"/>
        <w:tab w:val="end" w:pos="498.60pt"/>
      </w:tabs>
    </w:pPr>
  </w:style>
  <w:style w:type="paragraph" w:styleId="Kopfzeile">
    <w:name w:val="header"/>
    <w:pPr>
      <w:widowControl w:val="0"/>
      <w:tabs>
        <w:tab w:val="end" w:pos="742.70pt"/>
      </w:tabs>
      <w:suppressAutoHyphens/>
    </w:pPr>
    <w:rPr>
      <w:rFonts w:ascii="Arial" w:hAnsi="Arial"/>
      <w:sz w:val="18"/>
      <w:lang w:val="de-CH" w:eastAsia="zh-CN" w:bidi="hi-IN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12pt" w:after="12pt"/>
    </w:pPr>
    <w:rPr>
      <w:b/>
      <w:sz w:val="24"/>
    </w:rPr>
  </w:style>
  <w:style w:type="paragraph" w:customStyle="1" w:styleId="Datum1">
    <w:name w:val="Datum1"/>
    <w:basedOn w:val="Standard"/>
    <w:next w:val="Autor"/>
    <w:pPr>
      <w:keepNext/>
      <w:pBdr>
        <w:top w:val="none" w:sz="0" w:space="0" w:color="000000"/>
        <w:left w:val="none" w:sz="0" w:space="0" w:color="000000"/>
        <w:bottom w:val="single" w:sz="4" w:space="10" w:color="000000"/>
        <w:right w:val="none" w:sz="0" w:space="0" w:color="000000"/>
      </w:pBdr>
      <w:spacing w:after="12pt"/>
      <w:ind w:start="1.40pt" w:end="1.40pt"/>
    </w:pPr>
    <w:rPr>
      <w:position w:val="2"/>
    </w:rPr>
  </w:style>
  <w:style w:type="paragraph" w:customStyle="1" w:styleId="Grundlage">
    <w:name w:val="Grundlage"/>
    <w:basedOn w:val="Standard"/>
    <w:next w:val="Aktion"/>
    <w:pPr>
      <w:spacing w:before="12pt" w:after="2pt"/>
    </w:pPr>
  </w:style>
  <w:style w:type="paragraph" w:customStyle="1" w:styleId="Schluss">
    <w:name w:val="Schluss"/>
    <w:basedOn w:val="Standard"/>
    <w:pPr>
      <w:tabs>
        <w:tab w:val="clear" w:pos="742.70pt"/>
        <w:tab w:val="start" w:pos="306.20pt"/>
      </w:tabs>
      <w:spacing w:before="24pt" w:after="2pt"/>
      <w:ind w:start="153.10pt" w:hanging="153.10pt"/>
    </w:pPr>
  </w:style>
  <w:style w:type="paragraph" w:customStyle="1" w:styleId="Nebenzitat">
    <w:name w:val="Nebenzitat"/>
    <w:basedOn w:val="Standard"/>
  </w:style>
  <w:style w:type="paragraph" w:customStyle="1" w:styleId="Abschnittstitel">
    <w:name w:val="Abschnittstitel"/>
    <w:basedOn w:val="Standard"/>
    <w:pPr>
      <w:keepNext/>
      <w:suppressAutoHyphens/>
    </w:pPr>
    <w:rPr>
      <w:b/>
      <w:sz w:val="22"/>
    </w:rPr>
  </w:style>
  <w:style w:type="paragraph" w:customStyle="1" w:styleId="TitelStufe1">
    <w:name w:val="Titel Stufe 1"/>
    <w:basedOn w:val="Standard"/>
    <w:next w:val="Artikel"/>
    <w:pPr>
      <w:keepNext/>
      <w:suppressAutoHyphens/>
      <w:spacing w:before="18pt"/>
    </w:pPr>
    <w:rPr>
      <w:b/>
      <w:sz w:val="22"/>
    </w:rPr>
  </w:style>
  <w:style w:type="paragraph" w:customStyle="1" w:styleId="TitelStufe2">
    <w:name w:val="Titel Stufe 2"/>
    <w:basedOn w:val="TitelStufe1"/>
    <w:next w:val="Artikel"/>
    <w:rPr>
      <w:b w:val="0"/>
      <w:i/>
    </w:rPr>
  </w:style>
  <w:style w:type="paragraph" w:customStyle="1" w:styleId="TitelStufe3">
    <w:name w:val="Titel Stufe 3"/>
    <w:basedOn w:val="TitelStufe2"/>
    <w:next w:val="Artikel"/>
  </w:style>
  <w:style w:type="paragraph" w:customStyle="1" w:styleId="TitelStufe4">
    <w:name w:val="Titel Stufe 4"/>
    <w:basedOn w:val="TitelStufe2"/>
    <w:next w:val="Artikel"/>
  </w:style>
  <w:style w:type="paragraph" w:customStyle="1" w:styleId="TitelStufe5">
    <w:name w:val="Titel Stufe 5"/>
    <w:basedOn w:val="TitelStufe2"/>
    <w:next w:val="Artikel"/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7pt" w:line="13.80pt" w:lineRule="auto"/>
    </w:pPr>
  </w:style>
  <w:style w:type="paragraph" w:styleId="Kommentartext">
    <w:name w:val="annotation text"/>
    <w:basedOn w:val="Standard"/>
    <w:pPr>
      <w:keepNext/>
      <w:spacing w:line="7.20pt" w:lineRule="exac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742.70pt"/>
        <w:tab w:val="start" w:pos="68pt"/>
      </w:tabs>
      <w:spacing w:before="12pt" w:after="3pt"/>
      <w:ind w:start="34pt" w:hanging="34pt"/>
    </w:pPr>
  </w:style>
  <w:style w:type="paragraph" w:customStyle="1" w:styleId="Artikelaufgehoben">
    <w:name w:val="Artikel (aufgehoben)"/>
    <w:basedOn w:val="Artikel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e1">
    <w:name w:val="Liste 1"/>
    <w:basedOn w:val="Standard"/>
    <w:pPr>
      <w:ind w:start="17pt" w:hanging="17pt"/>
    </w:pPr>
  </w:style>
  <w:style w:type="paragraph" w:customStyle="1" w:styleId="Liste1mitUnterelementen">
    <w:name w:val="Liste 1 mit Unterelementen"/>
    <w:basedOn w:val="Liste1"/>
  </w:style>
  <w:style w:type="paragraph" w:customStyle="1" w:styleId="Liste1mitaufeinanderfolgendenAufhebungen">
    <w:name w:val="Liste 1 mit aufeinanderfolgenden Aufhebungen"/>
    <w:basedOn w:val="Liste1"/>
  </w:style>
  <w:style w:type="paragraph" w:customStyle="1" w:styleId="Liste21">
    <w:name w:val="Liste 21"/>
    <w:basedOn w:val="Liste1"/>
    <w:pPr>
      <w:ind w:start="34pt"/>
    </w:pPr>
  </w:style>
  <w:style w:type="paragraph" w:customStyle="1" w:styleId="Liste2mitaufeinanderfolgendenAufhebungen">
    <w:name w:val="Liste 2 mit aufeinanderfolgenden Aufhebungen"/>
    <w:basedOn w:val="Liste21"/>
  </w:style>
  <w:style w:type="paragraph" w:customStyle="1" w:styleId="Liste31">
    <w:name w:val="Liste 31"/>
    <w:basedOn w:val="Liste21"/>
    <w:pPr>
      <w:ind w:start="51.05pt"/>
    </w:pPr>
  </w:style>
  <w:style w:type="paragraph" w:styleId="Funotentext">
    <w:name w:val="footnote text"/>
    <w:basedOn w:val="Standard"/>
    <w:pPr>
      <w:spacing w:line="9.40pt" w:lineRule="exact"/>
      <w:ind w:start="10.50pt" w:hanging="10.50pt"/>
    </w:pPr>
    <w:rPr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purl.oclc.org/ooxml/officeDocument/relationships/hyperlink" Target="https://ar.clex.ch/data/142.12/de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632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Sylvia</dc:creator>
  <cp:lastModifiedBy>Keller Sylvia</cp:lastModifiedBy>
  <cp:revision>10</cp:revision>
  <dcterms:created xsi:type="dcterms:W3CDTF">2025-11-25T14:52:00Z</dcterms:created>
  <dcterms:modified xsi:type="dcterms:W3CDTF">2026-01-14T11:24:00Z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ocumentType">
    <vt:lpwstr>Synopse</vt:lpwstr>
  </property>
</Properties>
</file>